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4" w:rsidRDefault="00177514" w:rsidP="00177514">
      <w:pPr>
        <w:spacing w:line="480" w:lineRule="auto"/>
      </w:pPr>
      <w:r>
        <w:rPr>
          <w:rFonts w:hint="eastAsia"/>
        </w:rPr>
        <w:t>采购需求：</w:t>
      </w:r>
    </w:p>
    <w:p w:rsidR="00177514" w:rsidRPr="00AD5282" w:rsidRDefault="00177514" w:rsidP="00177514">
      <w:pPr>
        <w:jc w:val="center"/>
        <w:rPr>
          <w:b/>
          <w:sz w:val="22"/>
        </w:rPr>
      </w:pPr>
      <w:r w:rsidRPr="00AD5282">
        <w:rPr>
          <w:rFonts w:hint="eastAsia"/>
          <w:b/>
          <w:sz w:val="22"/>
        </w:rPr>
        <w:t>竞价参数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5044"/>
        <w:gridCol w:w="740"/>
        <w:gridCol w:w="897"/>
        <w:gridCol w:w="890"/>
      </w:tblGrid>
      <w:tr w:rsidR="00177514" w:rsidTr="005A6507">
        <w:trPr>
          <w:trHeight w:val="392"/>
        </w:trPr>
        <w:tc>
          <w:tcPr>
            <w:tcW w:w="1526" w:type="dxa"/>
            <w:vAlign w:val="center"/>
          </w:tcPr>
          <w:p w:rsidR="00177514" w:rsidRPr="00AD5282" w:rsidRDefault="00177514" w:rsidP="005A6507">
            <w:pPr>
              <w:jc w:val="center"/>
              <w:rPr>
                <w:b/>
              </w:rPr>
            </w:pPr>
            <w:r w:rsidRPr="00AD5282">
              <w:rPr>
                <w:rFonts w:hint="eastAsia"/>
                <w:b/>
              </w:rPr>
              <w:t>设备名称</w:t>
            </w:r>
          </w:p>
        </w:tc>
        <w:tc>
          <w:tcPr>
            <w:tcW w:w="9522" w:type="dxa"/>
            <w:vAlign w:val="center"/>
          </w:tcPr>
          <w:p w:rsidR="00177514" w:rsidRPr="00AD5282" w:rsidRDefault="00177514" w:rsidP="005A6507">
            <w:pPr>
              <w:jc w:val="center"/>
              <w:rPr>
                <w:b/>
              </w:rPr>
            </w:pPr>
            <w:r w:rsidRPr="00AD5282">
              <w:rPr>
                <w:rFonts w:hint="eastAsia"/>
                <w:b/>
              </w:rPr>
              <w:t>参数配置</w:t>
            </w:r>
          </w:p>
        </w:tc>
        <w:tc>
          <w:tcPr>
            <w:tcW w:w="1200" w:type="dxa"/>
            <w:vAlign w:val="center"/>
          </w:tcPr>
          <w:p w:rsidR="00177514" w:rsidRPr="00AD5282" w:rsidRDefault="00177514" w:rsidP="005A65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972" w:type="dxa"/>
            <w:vAlign w:val="center"/>
          </w:tcPr>
          <w:p w:rsidR="00177514" w:rsidRPr="00AD5282" w:rsidRDefault="00177514" w:rsidP="005A65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54" w:type="dxa"/>
            <w:vAlign w:val="center"/>
          </w:tcPr>
          <w:p w:rsidR="00177514" w:rsidRDefault="00177514" w:rsidP="005A65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</w:tr>
      <w:tr w:rsidR="00177514" w:rsidTr="005A6507">
        <w:trPr>
          <w:trHeight w:val="392"/>
        </w:trPr>
        <w:tc>
          <w:tcPr>
            <w:tcW w:w="1526" w:type="dxa"/>
            <w:vAlign w:val="center"/>
          </w:tcPr>
          <w:p w:rsidR="00177514" w:rsidRDefault="00177514" w:rsidP="005A6507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大屏</w:t>
            </w:r>
          </w:p>
        </w:tc>
        <w:tc>
          <w:tcPr>
            <w:tcW w:w="9522" w:type="dxa"/>
          </w:tcPr>
          <w:p w:rsidR="00177514" w:rsidRPr="00AD5282" w:rsidRDefault="00177514" w:rsidP="005A65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智慧屏 艾比森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Absenicon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X163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,显示尺寸:163英寸；显示尺寸屏幕:3600×2025；箱体厚度≤40mm，显示分辨率≥2304*1296，显示比例16:9。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超窄边框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设计，边框≤5mm（下边框宽度≤40mm），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内置安卓系统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内置扬声器，集成信号天线、开关按键、2路USB前置接口；封装方式：全倒装芯片，COB封装；有效降低功耗，显示面防撞能力极佳，降低维修频率，提升产品平整度。整机边框≤5mm；整屏平整度：≤0.1mm，模组间缝隙：≤0.5mm，像素中心距相对偏差≤2％；屏体显示亮度：≥600nits，实现遥控器可调。灰度等级：硬件≥14bit，内部处理20bit（使用软件22bit+技术实现），刷新率：≥3840Hz，换帧频率：50&amp;60Hz，对比度：≥15000:1，像素点失控率：≤1/1000000，色温（K）：6500K，色温可调（1500-13000K）。可视角度（垂直/水平）≥170°/160°，保障各个视角清晰可见；整机采用一根电源线供电，通过继电器上电方式，无需配置其他供电设备如电箱、稳压电源等。配备原装遥控器，信号传输方式为红外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连接，支持调节音量100级的调节范围；整机外置接口类型与数量不低于以下配置：HDMI 1.3 IN≥1，HDMI 1.3 LOOP OUT≥1，USB 2.0≥2，USB 3.0≥1，Audio OUT≥1，RJ45≥1，RS232≥1。整机内置嵌入式系统。采用Android11.0及以上系统，CPU：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四核64位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Cortex-A55, 主频1.8G，GPU不低于Mail G52 GPU，内存容量：4GB，存储容量：32GB。设备需内置不少于8个欢迎界面模板，可根据用户需求自定义文字等。整机内置音响：2×15W 超大功率，增强环绕立体声场效果；支持U盘直读，即插即用，可直接读取存储内容进行文档演示，视频播放，图片浏览等。支持自定义设定开机后的输入通道，可支持设定为上次关机时的通道、系统主页以及HDMI输入通道；可针对HDMI信号进行缩放比例设置(16:9,4:3，自适应等)；支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双模式功能：发射热点同时可以WIFI联网。整机连接可上网的网络后，再用PC、手机或平板电脑连接整机的热点，即可实现无线投屏的同时实现投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屏设备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通过整机热点链接互联网上网功能（PC、手机或者平板电脑）；支持电脑通过无线投屏，把屏幕传到LED显示屏且不影响电脑上网功能（Windows，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MacOS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）；支持手机/平板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投屏（Android/iOS），且传输延迟≦90ms；</w:t>
            </w:r>
          </w:p>
        </w:tc>
        <w:tc>
          <w:tcPr>
            <w:tcW w:w="1200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61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2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61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4400</w:t>
            </w:r>
          </w:p>
        </w:tc>
        <w:tc>
          <w:tcPr>
            <w:tcW w:w="954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204400</w:t>
            </w:r>
          </w:p>
        </w:tc>
      </w:tr>
      <w:tr w:rsidR="00177514" w:rsidTr="005A6507">
        <w:trPr>
          <w:trHeight w:val="70"/>
        </w:trPr>
        <w:tc>
          <w:tcPr>
            <w:tcW w:w="1526" w:type="dxa"/>
            <w:vAlign w:val="center"/>
          </w:tcPr>
          <w:p w:rsidR="00177514" w:rsidRDefault="00177514" w:rsidP="005A6507">
            <w:pPr>
              <w:jc w:val="center"/>
            </w:pPr>
            <w:r>
              <w:rPr>
                <w:rFonts w:hint="eastAsia"/>
              </w:rPr>
              <w:lastRenderedPageBreak/>
              <w:t>OPS</w:t>
            </w:r>
            <w:r>
              <w:rPr>
                <w:rFonts w:hint="eastAsia"/>
              </w:rPr>
              <w:t>控制终端</w:t>
            </w:r>
          </w:p>
        </w:tc>
        <w:tc>
          <w:tcPr>
            <w:tcW w:w="9522" w:type="dxa"/>
          </w:tcPr>
          <w:p w:rsidR="00177514" w:rsidRDefault="00177514" w:rsidP="005A650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A6139">
              <w:rPr>
                <w:rFonts w:ascii="宋体" w:eastAsia="宋体" w:hAnsi="宋体" w:cs="宋体" w:hint="eastAsia"/>
                <w:szCs w:val="21"/>
              </w:rPr>
              <w:t>1.CPU性能不低于Intel i7 8代 四核；2.运行内存≥8G；3.固态硬盘≥256G；4.操作系统：Windows系统；5.网络功能：千兆网卡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支持此大屏的系统切换</w:t>
            </w:r>
          </w:p>
        </w:tc>
        <w:tc>
          <w:tcPr>
            <w:tcW w:w="1200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6600</w:t>
            </w:r>
          </w:p>
        </w:tc>
        <w:tc>
          <w:tcPr>
            <w:tcW w:w="954" w:type="dxa"/>
            <w:vAlign w:val="center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6600</w:t>
            </w:r>
          </w:p>
        </w:tc>
      </w:tr>
      <w:tr w:rsidR="00177514" w:rsidTr="005A6507">
        <w:trPr>
          <w:trHeight w:val="70"/>
        </w:trPr>
        <w:tc>
          <w:tcPr>
            <w:tcW w:w="1526" w:type="dxa"/>
            <w:vAlign w:val="center"/>
          </w:tcPr>
          <w:p w:rsidR="00177514" w:rsidRDefault="00177514" w:rsidP="005A6507">
            <w:pPr>
              <w:jc w:val="center"/>
            </w:pPr>
            <w:r>
              <w:rPr>
                <w:rFonts w:hint="eastAsia"/>
              </w:rPr>
              <w:t>预算总计</w:t>
            </w:r>
          </w:p>
        </w:tc>
        <w:tc>
          <w:tcPr>
            <w:tcW w:w="9522" w:type="dxa"/>
          </w:tcPr>
          <w:p w:rsidR="00177514" w:rsidRPr="004A6139" w:rsidRDefault="00177514" w:rsidP="005A650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大写：贰拾壹万壹仟元整</w:t>
            </w:r>
          </w:p>
        </w:tc>
        <w:tc>
          <w:tcPr>
            <w:tcW w:w="1200" w:type="dxa"/>
            <w:vAlign w:val="center"/>
          </w:tcPr>
          <w:p w:rsidR="00177514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177514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177514" w:rsidRDefault="00177514" w:rsidP="005A6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211000</w:t>
            </w:r>
          </w:p>
        </w:tc>
      </w:tr>
    </w:tbl>
    <w:p w:rsidR="00177514" w:rsidRDefault="00177514" w:rsidP="00177514">
      <w:pPr>
        <w:spacing w:line="480" w:lineRule="auto"/>
        <w:sectPr w:rsidR="00177514" w:rsidSect="000815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E035E" w:rsidRDefault="00407E21"/>
    <w:sectPr w:rsidR="000E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21" w:rsidRDefault="00407E21" w:rsidP="00177514">
      <w:r>
        <w:separator/>
      </w:r>
    </w:p>
  </w:endnote>
  <w:endnote w:type="continuationSeparator" w:id="0">
    <w:p w:rsidR="00407E21" w:rsidRDefault="00407E21" w:rsidP="001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21" w:rsidRDefault="00407E21" w:rsidP="00177514">
      <w:r>
        <w:separator/>
      </w:r>
    </w:p>
  </w:footnote>
  <w:footnote w:type="continuationSeparator" w:id="0">
    <w:p w:rsidR="00407E21" w:rsidRDefault="00407E21" w:rsidP="0017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6"/>
    <w:rsid w:val="00177514"/>
    <w:rsid w:val="001D2066"/>
    <w:rsid w:val="00407E21"/>
    <w:rsid w:val="005520C4"/>
    <w:rsid w:val="005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14"/>
    <w:rPr>
      <w:sz w:val="18"/>
      <w:szCs w:val="18"/>
    </w:rPr>
  </w:style>
  <w:style w:type="table" w:styleId="a5">
    <w:name w:val="Table Grid"/>
    <w:basedOn w:val="a1"/>
    <w:uiPriority w:val="59"/>
    <w:rsid w:val="00177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14"/>
    <w:rPr>
      <w:sz w:val="18"/>
      <w:szCs w:val="18"/>
    </w:rPr>
  </w:style>
  <w:style w:type="table" w:styleId="a5">
    <w:name w:val="Table Grid"/>
    <w:basedOn w:val="a1"/>
    <w:uiPriority w:val="59"/>
    <w:rsid w:val="00177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樊致君</dc:creator>
  <cp:keywords/>
  <dc:description/>
  <cp:lastModifiedBy>樊致君</cp:lastModifiedBy>
  <cp:revision>2</cp:revision>
  <dcterms:created xsi:type="dcterms:W3CDTF">2024-11-01T08:58:00Z</dcterms:created>
  <dcterms:modified xsi:type="dcterms:W3CDTF">2024-11-01T08:58:00Z</dcterms:modified>
</cp:coreProperties>
</file>