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F4BBAC">
      <w:pPr>
        <w:spacing w:before="312" w:beforeLines="100" w:after="312" w:afterLines="100" w:line="480" w:lineRule="exact"/>
        <w:jc w:val="center"/>
        <w:rPr>
          <w:rFonts w:eastAsia="方正小标宋简体"/>
          <w:bCs/>
          <w:color w:val="000000"/>
          <w:sz w:val="36"/>
          <w:szCs w:val="36"/>
        </w:rPr>
      </w:pPr>
      <w:r>
        <w:rPr>
          <w:rFonts w:eastAsia="方正小标宋简体"/>
          <w:bCs/>
          <w:color w:val="000000"/>
          <w:sz w:val="36"/>
          <w:szCs w:val="36"/>
        </w:rPr>
        <w:t>西北师范大学研究生奖学金评审实施办法</w:t>
      </w:r>
    </w:p>
    <w:p w14:paraId="4AB05CD1">
      <w:pPr>
        <w:spacing w:before="312" w:beforeLines="100" w:after="312" w:afterLines="100" w:line="480" w:lineRule="exact"/>
        <w:jc w:val="center"/>
        <w:rPr>
          <w:rFonts w:hint="eastAsia" w:eastAsia="方正小标宋简体"/>
          <w:bCs/>
          <w:color w:val="000000"/>
          <w:sz w:val="36"/>
          <w:szCs w:val="36"/>
        </w:rPr>
      </w:pPr>
      <w:r>
        <w:rPr>
          <w:rFonts w:hint="eastAsia" w:eastAsia="方正小标宋简体"/>
          <w:bCs/>
          <w:color w:val="000000"/>
          <w:sz w:val="36"/>
          <w:szCs w:val="36"/>
        </w:rPr>
        <w:t>（修订）</w:t>
      </w:r>
    </w:p>
    <w:p w14:paraId="7A64F2F5">
      <w:pPr>
        <w:spacing w:before="312" w:beforeLines="100" w:after="312" w:afterLines="100" w:line="480" w:lineRule="exact"/>
        <w:jc w:val="center"/>
        <w:rPr>
          <w:rFonts w:hint="eastAsia" w:eastAsia="方正小标宋简体"/>
          <w:bCs/>
          <w:color w:val="000000"/>
          <w:sz w:val="36"/>
          <w:szCs w:val="36"/>
        </w:rPr>
      </w:pPr>
      <w:r>
        <w:rPr>
          <w:rFonts w:hint="eastAsia" w:eastAsia="仿宋_GB2312"/>
          <w:color w:val="000000"/>
          <w:sz w:val="32"/>
          <w:szCs w:val="32"/>
          <w:lang w:val="en-US" w:eastAsia="zh-CN"/>
        </w:rPr>
        <w:t>西师发</w:t>
      </w:r>
      <w:r>
        <w:rPr>
          <w:rFonts w:eastAsia="仿宋_GB2312"/>
          <w:color w:val="000000"/>
          <w:sz w:val="32"/>
          <w:szCs w:val="32"/>
        </w:rPr>
        <w:t>〔202</w:t>
      </w:r>
      <w:r>
        <w:rPr>
          <w:rFonts w:hint="eastAsia" w:eastAsia="仿宋_GB2312"/>
          <w:color w:val="000000"/>
          <w:sz w:val="32"/>
          <w:szCs w:val="32"/>
          <w:lang w:val="en-US" w:eastAsia="zh-CN"/>
        </w:rPr>
        <w:t>3</w:t>
      </w:r>
      <w:r>
        <w:rPr>
          <w:rFonts w:eastAsia="仿宋_GB2312"/>
          <w:color w:val="000000"/>
          <w:sz w:val="32"/>
          <w:szCs w:val="32"/>
        </w:rPr>
        <w:t>〕</w:t>
      </w:r>
      <w:r>
        <w:rPr>
          <w:rFonts w:hint="eastAsia" w:eastAsia="仿宋_GB2312"/>
          <w:color w:val="000000"/>
          <w:sz w:val="32"/>
          <w:szCs w:val="32"/>
          <w:lang w:val="en-US" w:eastAsia="zh-CN"/>
        </w:rPr>
        <w:t>84</w:t>
      </w:r>
      <w:r>
        <w:rPr>
          <w:rFonts w:eastAsia="仿宋_GB2312"/>
          <w:color w:val="000000"/>
          <w:sz w:val="32"/>
          <w:szCs w:val="32"/>
        </w:rPr>
        <w:t>号</w:t>
      </w:r>
    </w:p>
    <w:p w14:paraId="62CEB036">
      <w:pPr>
        <w:widowControl/>
        <w:spacing w:before="156" w:beforeLines="50" w:after="156" w:afterLines="50" w:line="480" w:lineRule="exact"/>
        <w:jc w:val="center"/>
        <w:rPr>
          <w:rFonts w:eastAsia="黑体"/>
          <w:b/>
          <w:color w:val="000000"/>
          <w:sz w:val="30"/>
          <w:szCs w:val="30"/>
        </w:rPr>
      </w:pPr>
      <w:r>
        <w:rPr>
          <w:rFonts w:eastAsia="黑体"/>
          <w:b/>
          <w:color w:val="000000"/>
          <w:sz w:val="30"/>
          <w:szCs w:val="30"/>
        </w:rPr>
        <w:t>第一章</w:t>
      </w:r>
      <w:r>
        <w:rPr>
          <w:rFonts w:hint="eastAsia" w:eastAsia="黑体"/>
          <w:b/>
          <w:color w:val="000000"/>
          <w:sz w:val="30"/>
          <w:szCs w:val="30"/>
        </w:rPr>
        <w:t xml:space="preserve">  </w:t>
      </w:r>
      <w:r>
        <w:rPr>
          <w:rFonts w:eastAsia="黑体"/>
          <w:b/>
          <w:color w:val="000000"/>
          <w:sz w:val="30"/>
          <w:szCs w:val="30"/>
        </w:rPr>
        <w:t>总则</w:t>
      </w:r>
    </w:p>
    <w:p w14:paraId="5675FF24">
      <w:pPr>
        <w:spacing w:line="540" w:lineRule="exact"/>
        <w:ind w:firstLine="643" w:firstLineChars="200"/>
        <w:rPr>
          <w:rFonts w:eastAsia="仿宋_GB2312"/>
          <w:color w:val="auto"/>
          <w:sz w:val="32"/>
          <w:szCs w:val="32"/>
        </w:rPr>
      </w:pPr>
      <w:r>
        <w:rPr>
          <w:rFonts w:eastAsia="仿宋_GB2312"/>
          <w:b/>
          <w:color w:val="auto"/>
          <w:sz w:val="32"/>
          <w:szCs w:val="32"/>
        </w:rPr>
        <w:t>第一条</w:t>
      </w:r>
      <w:r>
        <w:rPr>
          <w:rFonts w:eastAsia="仿宋_GB2312"/>
          <w:color w:val="auto"/>
          <w:sz w:val="32"/>
          <w:szCs w:val="32"/>
        </w:rPr>
        <w:t xml:space="preserve">  为进一步加快学校研究生教育事业发展，提高研究生培养质量，激励研究生勤奋学习、潜心科研、勇于创新、积极进取，根据《教育部办公厅&lt;关于进一步规范和加强研究生培养管理的通知&gt;》（教研厅〔2019〕1号）、《甘肃省财政厅</w:t>
      </w:r>
      <w:r>
        <w:rPr>
          <w:rFonts w:hint="eastAsia" w:eastAsia="仿宋_GB2312"/>
          <w:color w:val="auto"/>
          <w:sz w:val="32"/>
          <w:szCs w:val="32"/>
        </w:rPr>
        <w:t xml:space="preserve"> </w:t>
      </w:r>
      <w:r>
        <w:rPr>
          <w:rFonts w:eastAsia="仿宋_GB2312"/>
          <w:color w:val="auto"/>
          <w:sz w:val="32"/>
          <w:szCs w:val="32"/>
        </w:rPr>
        <w:t>甘肃省教育厅</w:t>
      </w:r>
      <w:r>
        <w:rPr>
          <w:rFonts w:hint="eastAsia" w:eastAsia="仿宋_GB2312"/>
          <w:color w:val="auto"/>
          <w:sz w:val="32"/>
          <w:szCs w:val="32"/>
        </w:rPr>
        <w:t xml:space="preserve"> 甘肃省人力资源和社会保障厅 甘肃省退役军人事务厅 甘肃省人民政府征兵办公室关于</w:t>
      </w:r>
      <w:r>
        <w:rPr>
          <w:rFonts w:eastAsia="仿宋_GB2312"/>
          <w:color w:val="auto"/>
          <w:sz w:val="32"/>
          <w:szCs w:val="32"/>
        </w:rPr>
        <w:t>印发〈甘肃省学生资助资金管理办法〉的通知》（甘财教〔2022〕20号）等文件精神，结合学校实际，制定本办法。</w:t>
      </w:r>
    </w:p>
    <w:p w14:paraId="554BD5E8">
      <w:pPr>
        <w:spacing w:line="540" w:lineRule="exact"/>
        <w:ind w:firstLine="643" w:firstLineChars="200"/>
        <w:rPr>
          <w:rFonts w:eastAsia="仿宋_GB2312"/>
          <w:color w:val="auto"/>
          <w:sz w:val="32"/>
          <w:szCs w:val="32"/>
        </w:rPr>
      </w:pPr>
      <w:r>
        <w:rPr>
          <w:rFonts w:eastAsia="仿宋_GB2312"/>
          <w:b/>
          <w:bCs/>
          <w:color w:val="auto"/>
          <w:sz w:val="32"/>
          <w:szCs w:val="32"/>
        </w:rPr>
        <w:t>第二条</w:t>
      </w:r>
      <w:r>
        <w:rPr>
          <w:rFonts w:eastAsia="仿宋_GB2312"/>
          <w:color w:val="auto"/>
          <w:sz w:val="32"/>
          <w:szCs w:val="32"/>
        </w:rPr>
        <w:t xml:space="preserve">  研究生奖学金包括国家奖学金、学业奖学金、专项奖学金。</w:t>
      </w:r>
    </w:p>
    <w:p w14:paraId="77C8BDFC">
      <w:pPr>
        <w:spacing w:line="540" w:lineRule="exact"/>
        <w:ind w:firstLine="643" w:firstLineChars="200"/>
        <w:rPr>
          <w:rFonts w:eastAsia="仿宋_GB2312"/>
          <w:color w:val="auto"/>
          <w:sz w:val="32"/>
          <w:szCs w:val="32"/>
        </w:rPr>
      </w:pPr>
      <w:r>
        <w:rPr>
          <w:rFonts w:eastAsia="仿宋_GB2312"/>
          <w:b/>
          <w:color w:val="auto"/>
          <w:sz w:val="32"/>
          <w:szCs w:val="32"/>
        </w:rPr>
        <w:t>第三条</w:t>
      </w:r>
      <w:r>
        <w:rPr>
          <w:rFonts w:eastAsia="仿宋_GB2312"/>
          <w:color w:val="auto"/>
          <w:sz w:val="32"/>
          <w:szCs w:val="32"/>
        </w:rPr>
        <w:t xml:space="preserve">  研究生奖学金资金以财政拨款为主，统筹学费收入、社会捐助等资金,奖励支持表现良好的研究生更好地完成学业。</w:t>
      </w:r>
    </w:p>
    <w:p w14:paraId="7F562787">
      <w:pPr>
        <w:spacing w:line="540" w:lineRule="exact"/>
        <w:ind w:firstLine="643" w:firstLineChars="200"/>
        <w:rPr>
          <w:rFonts w:eastAsia="仿宋_GB2312"/>
          <w:color w:val="auto"/>
          <w:sz w:val="32"/>
          <w:szCs w:val="32"/>
        </w:rPr>
      </w:pPr>
      <w:r>
        <w:rPr>
          <w:rFonts w:eastAsia="仿宋_GB2312"/>
          <w:b/>
          <w:color w:val="auto"/>
          <w:sz w:val="32"/>
          <w:szCs w:val="32"/>
        </w:rPr>
        <w:t>第四条</w:t>
      </w:r>
      <w:r>
        <w:rPr>
          <w:rFonts w:hint="eastAsia" w:eastAsia="仿宋_GB2312"/>
          <w:color w:val="auto"/>
          <w:sz w:val="32"/>
          <w:szCs w:val="32"/>
        </w:rPr>
        <w:t xml:space="preserve">  </w:t>
      </w:r>
      <w:r>
        <w:rPr>
          <w:rFonts w:eastAsia="仿宋_GB2312"/>
          <w:color w:val="auto"/>
          <w:sz w:val="32"/>
          <w:szCs w:val="32"/>
        </w:rPr>
        <w:t>凡具有中华人民共和国国籍且具有西北师范大学学籍的全日制研究生均有资格申请。</w:t>
      </w:r>
    </w:p>
    <w:p w14:paraId="03DFEEF4">
      <w:pPr>
        <w:widowControl/>
        <w:spacing w:before="156" w:beforeLines="50" w:after="156" w:afterLines="50" w:line="540" w:lineRule="exact"/>
        <w:jc w:val="center"/>
        <w:rPr>
          <w:rFonts w:eastAsia="黑体"/>
          <w:b/>
          <w:color w:val="auto"/>
          <w:sz w:val="32"/>
          <w:szCs w:val="32"/>
        </w:rPr>
      </w:pPr>
      <w:r>
        <w:rPr>
          <w:rFonts w:eastAsia="黑体"/>
          <w:b/>
          <w:color w:val="auto"/>
          <w:sz w:val="32"/>
          <w:szCs w:val="32"/>
        </w:rPr>
        <w:t>第二章</w:t>
      </w:r>
      <w:r>
        <w:rPr>
          <w:rFonts w:hint="eastAsia" w:eastAsia="黑体"/>
          <w:b/>
          <w:color w:val="auto"/>
          <w:sz w:val="32"/>
          <w:szCs w:val="32"/>
        </w:rPr>
        <w:t xml:space="preserve">  </w:t>
      </w:r>
      <w:r>
        <w:rPr>
          <w:rFonts w:eastAsia="黑体"/>
          <w:b/>
          <w:color w:val="auto"/>
          <w:sz w:val="32"/>
          <w:szCs w:val="32"/>
        </w:rPr>
        <w:t>评审条件</w:t>
      </w:r>
    </w:p>
    <w:p w14:paraId="0C93FB40">
      <w:pPr>
        <w:widowControl/>
        <w:spacing w:line="540" w:lineRule="exact"/>
        <w:ind w:firstLine="643" w:firstLineChars="200"/>
        <w:rPr>
          <w:rFonts w:eastAsia="仿宋_GB2312"/>
          <w:color w:val="auto"/>
          <w:sz w:val="32"/>
          <w:szCs w:val="32"/>
        </w:rPr>
      </w:pPr>
      <w:r>
        <w:rPr>
          <w:rFonts w:eastAsia="仿宋_GB2312"/>
          <w:b/>
          <w:color w:val="auto"/>
          <w:sz w:val="32"/>
          <w:szCs w:val="32"/>
        </w:rPr>
        <w:t>第五条</w:t>
      </w:r>
      <w:r>
        <w:rPr>
          <w:rFonts w:eastAsia="仿宋_GB2312"/>
          <w:color w:val="auto"/>
          <w:sz w:val="32"/>
          <w:szCs w:val="32"/>
        </w:rPr>
        <w:t xml:space="preserve">  研究生奖学金基本申请条件：</w:t>
      </w:r>
    </w:p>
    <w:p w14:paraId="3D92068D">
      <w:pPr>
        <w:widowControl/>
        <w:spacing w:line="540" w:lineRule="exact"/>
        <w:ind w:firstLine="640" w:firstLineChars="200"/>
        <w:rPr>
          <w:rFonts w:eastAsia="仿宋_GB2312"/>
          <w:color w:val="auto"/>
          <w:sz w:val="32"/>
          <w:szCs w:val="32"/>
        </w:rPr>
      </w:pPr>
      <w:r>
        <w:rPr>
          <w:rFonts w:eastAsia="仿宋_GB2312"/>
          <w:color w:val="auto"/>
          <w:sz w:val="32"/>
          <w:szCs w:val="32"/>
        </w:rPr>
        <w:t>（一）热爱社会主义祖国，拥护中国共产党的领导；</w:t>
      </w:r>
    </w:p>
    <w:p w14:paraId="24C517E6">
      <w:pPr>
        <w:widowControl/>
        <w:spacing w:line="540" w:lineRule="exact"/>
        <w:ind w:firstLine="640" w:firstLineChars="200"/>
        <w:rPr>
          <w:rFonts w:eastAsia="仿宋_GB2312"/>
          <w:color w:val="auto"/>
          <w:sz w:val="32"/>
          <w:szCs w:val="32"/>
        </w:rPr>
      </w:pPr>
      <w:r>
        <w:rPr>
          <w:rFonts w:eastAsia="仿宋_GB2312"/>
          <w:color w:val="auto"/>
          <w:sz w:val="32"/>
          <w:szCs w:val="32"/>
        </w:rPr>
        <w:t>（二）遵守宪法和法律，遵守学校规章制度；</w:t>
      </w:r>
    </w:p>
    <w:p w14:paraId="6CF17E11">
      <w:pPr>
        <w:widowControl/>
        <w:spacing w:line="540" w:lineRule="exact"/>
        <w:ind w:firstLine="640" w:firstLineChars="200"/>
        <w:rPr>
          <w:rFonts w:hint="eastAsia" w:eastAsia="仿宋_GB2312"/>
          <w:color w:val="auto"/>
          <w:sz w:val="32"/>
          <w:szCs w:val="32"/>
        </w:rPr>
      </w:pPr>
      <w:r>
        <w:rPr>
          <w:rFonts w:eastAsia="仿宋_GB2312"/>
          <w:color w:val="auto"/>
          <w:sz w:val="32"/>
          <w:szCs w:val="32"/>
        </w:rPr>
        <w:t>（三）诚实守信，道德品质优良；</w:t>
      </w:r>
    </w:p>
    <w:p w14:paraId="0FC58FFB">
      <w:pPr>
        <w:widowControl/>
        <w:spacing w:line="540" w:lineRule="exact"/>
        <w:ind w:firstLine="640" w:firstLineChars="200"/>
        <w:rPr>
          <w:rFonts w:eastAsia="仿宋_GB2312"/>
          <w:color w:val="auto"/>
          <w:sz w:val="32"/>
          <w:szCs w:val="32"/>
        </w:rPr>
      </w:pPr>
      <w:r>
        <w:rPr>
          <w:rFonts w:hint="eastAsia" w:eastAsia="仿宋_GB2312"/>
          <w:color w:val="auto"/>
          <w:sz w:val="32"/>
          <w:szCs w:val="32"/>
        </w:rPr>
        <w:t>（四）</w:t>
      </w:r>
      <w:r>
        <w:rPr>
          <w:rFonts w:eastAsia="仿宋_GB2312"/>
          <w:color w:val="auto"/>
          <w:sz w:val="32"/>
          <w:szCs w:val="32"/>
        </w:rPr>
        <w:t>积极参与科学研究、社会实践、体育锻炼、劳动教育；</w:t>
      </w:r>
    </w:p>
    <w:p w14:paraId="64C17158">
      <w:pPr>
        <w:widowControl/>
        <w:spacing w:line="540" w:lineRule="exact"/>
        <w:ind w:firstLine="640" w:firstLineChars="200"/>
        <w:rPr>
          <w:rFonts w:eastAsia="仿宋_GB2312"/>
          <w:color w:val="auto"/>
          <w:sz w:val="32"/>
          <w:szCs w:val="32"/>
        </w:rPr>
      </w:pPr>
      <w:r>
        <w:rPr>
          <w:rFonts w:eastAsia="仿宋_GB2312"/>
          <w:color w:val="auto"/>
          <w:sz w:val="32"/>
          <w:szCs w:val="32"/>
        </w:rPr>
        <w:t>（五）学习成绩优良，科研能力显著，德智体美劳全面发展。</w:t>
      </w:r>
    </w:p>
    <w:p w14:paraId="30F66F30">
      <w:pPr>
        <w:widowControl/>
        <w:spacing w:line="540" w:lineRule="exact"/>
        <w:ind w:firstLine="643" w:firstLineChars="200"/>
        <w:rPr>
          <w:rFonts w:eastAsia="仿宋_GB2312"/>
          <w:color w:val="auto"/>
          <w:sz w:val="32"/>
          <w:szCs w:val="32"/>
        </w:rPr>
      </w:pPr>
      <w:r>
        <w:rPr>
          <w:rFonts w:eastAsia="仿宋_GB2312"/>
          <w:b/>
          <w:color w:val="auto"/>
          <w:sz w:val="32"/>
          <w:szCs w:val="32"/>
        </w:rPr>
        <w:t>第六条</w:t>
      </w:r>
      <w:r>
        <w:rPr>
          <w:rFonts w:eastAsia="仿宋_GB2312"/>
          <w:color w:val="auto"/>
          <w:sz w:val="32"/>
          <w:szCs w:val="32"/>
        </w:rPr>
        <w:t xml:space="preserve"> </w:t>
      </w:r>
      <w:r>
        <w:rPr>
          <w:rFonts w:hint="eastAsia" w:eastAsia="仿宋_GB2312"/>
          <w:color w:val="auto"/>
          <w:sz w:val="32"/>
          <w:szCs w:val="32"/>
        </w:rPr>
        <w:t xml:space="preserve"> </w:t>
      </w:r>
      <w:r>
        <w:rPr>
          <w:rFonts w:eastAsia="仿宋_GB2312"/>
          <w:color w:val="auto"/>
          <w:sz w:val="32"/>
          <w:szCs w:val="32"/>
        </w:rPr>
        <w:t>有下列情况之一者，不具备当年研究生奖学金参评资格：</w:t>
      </w:r>
    </w:p>
    <w:p w14:paraId="5A2EC4AC">
      <w:pPr>
        <w:widowControl/>
        <w:spacing w:line="540" w:lineRule="exact"/>
        <w:ind w:firstLine="640" w:firstLineChars="200"/>
        <w:rPr>
          <w:rFonts w:eastAsia="仿宋_GB2312"/>
          <w:color w:val="auto"/>
          <w:sz w:val="32"/>
          <w:szCs w:val="32"/>
        </w:rPr>
      </w:pPr>
      <w:r>
        <w:rPr>
          <w:rFonts w:eastAsia="仿宋_GB2312"/>
          <w:color w:val="auto"/>
          <w:sz w:val="32"/>
          <w:szCs w:val="32"/>
        </w:rPr>
        <w:t>（一）参评学年所受纪律处分未解除者；</w:t>
      </w:r>
    </w:p>
    <w:p w14:paraId="67B68A2C">
      <w:pPr>
        <w:widowControl/>
        <w:spacing w:line="540" w:lineRule="exact"/>
        <w:ind w:firstLine="640" w:firstLineChars="200"/>
        <w:rPr>
          <w:rFonts w:eastAsia="仿宋_GB2312"/>
          <w:color w:val="auto"/>
          <w:sz w:val="32"/>
          <w:szCs w:val="32"/>
        </w:rPr>
      </w:pPr>
      <w:r>
        <w:rPr>
          <w:rFonts w:eastAsia="仿宋_GB2312"/>
          <w:color w:val="auto"/>
          <w:sz w:val="32"/>
          <w:szCs w:val="32"/>
        </w:rPr>
        <w:t>（二）参评学年有抄袭剽窃、弄虚作假等学术不端行为经查证属实者；</w:t>
      </w:r>
    </w:p>
    <w:p w14:paraId="5C7F7602">
      <w:pPr>
        <w:widowControl/>
        <w:spacing w:line="540" w:lineRule="exact"/>
        <w:ind w:firstLine="640" w:firstLineChars="200"/>
        <w:rPr>
          <w:rFonts w:eastAsia="仿宋_GB2312"/>
          <w:color w:val="auto"/>
          <w:sz w:val="32"/>
          <w:szCs w:val="32"/>
        </w:rPr>
      </w:pPr>
      <w:r>
        <w:rPr>
          <w:rFonts w:eastAsia="仿宋_GB2312"/>
          <w:color w:val="auto"/>
          <w:sz w:val="32"/>
          <w:szCs w:val="32"/>
        </w:rPr>
        <w:t>（三）参评学年学籍状态处于休学、保留学籍者；</w:t>
      </w:r>
    </w:p>
    <w:p w14:paraId="0E92C70F">
      <w:pPr>
        <w:widowControl/>
        <w:spacing w:line="540" w:lineRule="exact"/>
        <w:ind w:firstLine="640" w:firstLineChars="200"/>
        <w:rPr>
          <w:rFonts w:eastAsia="仿宋_GB2312"/>
          <w:color w:val="auto"/>
          <w:sz w:val="32"/>
          <w:szCs w:val="32"/>
        </w:rPr>
      </w:pPr>
      <w:r>
        <w:rPr>
          <w:rFonts w:eastAsia="仿宋_GB2312"/>
          <w:color w:val="auto"/>
          <w:sz w:val="32"/>
          <w:szCs w:val="32"/>
        </w:rPr>
        <w:t xml:space="preserve">（四）超出学制期限基本修业年限者；  </w:t>
      </w:r>
    </w:p>
    <w:p w14:paraId="2DC875A5">
      <w:pPr>
        <w:widowControl/>
        <w:spacing w:line="540" w:lineRule="exact"/>
        <w:ind w:firstLine="640" w:firstLineChars="200"/>
        <w:rPr>
          <w:rFonts w:eastAsia="仿宋_GB2312"/>
          <w:color w:val="auto"/>
          <w:sz w:val="32"/>
          <w:szCs w:val="32"/>
        </w:rPr>
      </w:pPr>
      <w:r>
        <w:rPr>
          <w:rFonts w:eastAsia="仿宋_GB2312"/>
          <w:color w:val="auto"/>
          <w:sz w:val="32"/>
          <w:szCs w:val="32"/>
        </w:rPr>
        <w:t>（五）所选课程有课程成绩不及格者；</w:t>
      </w:r>
    </w:p>
    <w:p w14:paraId="02AF9D7A">
      <w:pPr>
        <w:widowControl/>
        <w:spacing w:line="540" w:lineRule="exact"/>
        <w:ind w:firstLine="640" w:firstLineChars="200"/>
        <w:rPr>
          <w:rFonts w:eastAsia="仿宋_GB2312"/>
          <w:color w:val="auto"/>
          <w:sz w:val="32"/>
          <w:szCs w:val="32"/>
        </w:rPr>
      </w:pPr>
      <w:r>
        <w:rPr>
          <w:rFonts w:eastAsia="仿宋_GB2312"/>
          <w:color w:val="auto"/>
          <w:sz w:val="32"/>
          <w:szCs w:val="32"/>
        </w:rPr>
        <w:t>（六）</w:t>
      </w:r>
      <w:r>
        <w:rPr>
          <w:rFonts w:hint="eastAsia" w:eastAsia="仿宋_GB2312"/>
          <w:color w:val="auto"/>
          <w:sz w:val="32"/>
          <w:szCs w:val="32"/>
        </w:rPr>
        <w:t>未按学校规定时间办理注册手续、恶意拖欠学费及相关费用者</w:t>
      </w:r>
      <w:r>
        <w:rPr>
          <w:rFonts w:eastAsia="仿宋_GB2312"/>
          <w:color w:val="auto"/>
          <w:sz w:val="32"/>
          <w:szCs w:val="32"/>
        </w:rPr>
        <w:t xml:space="preserve">； </w:t>
      </w:r>
    </w:p>
    <w:p w14:paraId="44D9CCBA">
      <w:pPr>
        <w:widowControl/>
        <w:spacing w:line="540" w:lineRule="exact"/>
        <w:ind w:firstLine="640" w:firstLineChars="200"/>
        <w:rPr>
          <w:rFonts w:eastAsia="仿宋_GB2312"/>
          <w:color w:val="auto"/>
          <w:sz w:val="32"/>
          <w:szCs w:val="32"/>
        </w:rPr>
      </w:pPr>
      <w:r>
        <w:rPr>
          <w:rFonts w:eastAsia="仿宋_GB2312"/>
          <w:color w:val="auto"/>
          <w:sz w:val="32"/>
          <w:szCs w:val="32"/>
        </w:rPr>
        <w:t>（七）不积极参加学校组织的各类文体活动、社会实践、劳动教育等活动者；</w:t>
      </w:r>
    </w:p>
    <w:p w14:paraId="1471ECEC">
      <w:pPr>
        <w:widowControl/>
        <w:spacing w:line="540" w:lineRule="exact"/>
        <w:ind w:firstLine="640" w:firstLineChars="200"/>
        <w:rPr>
          <w:rFonts w:eastAsia="仿宋_GB2312"/>
          <w:color w:val="auto"/>
          <w:sz w:val="32"/>
          <w:szCs w:val="32"/>
        </w:rPr>
      </w:pPr>
      <w:r>
        <w:rPr>
          <w:rFonts w:eastAsia="仿宋_GB2312"/>
          <w:color w:val="auto"/>
          <w:sz w:val="32"/>
          <w:szCs w:val="32"/>
        </w:rPr>
        <w:t>（八）学院认定为不能参评的其他情形者。</w:t>
      </w:r>
    </w:p>
    <w:p w14:paraId="488622BC">
      <w:pPr>
        <w:widowControl/>
        <w:spacing w:line="540" w:lineRule="exact"/>
        <w:ind w:firstLine="643" w:firstLineChars="200"/>
        <w:rPr>
          <w:rFonts w:eastAsia="仿宋_GB2312"/>
          <w:color w:val="auto"/>
          <w:sz w:val="32"/>
          <w:szCs w:val="32"/>
        </w:rPr>
      </w:pPr>
      <w:r>
        <w:rPr>
          <w:rFonts w:eastAsia="仿宋_GB2312"/>
          <w:b/>
          <w:color w:val="auto"/>
          <w:sz w:val="32"/>
          <w:szCs w:val="32"/>
        </w:rPr>
        <w:t xml:space="preserve">第七条  </w:t>
      </w:r>
      <w:r>
        <w:rPr>
          <w:rFonts w:eastAsia="仿宋_GB2312"/>
          <w:color w:val="auto"/>
          <w:sz w:val="32"/>
          <w:szCs w:val="32"/>
        </w:rPr>
        <w:t xml:space="preserve">在学制期限基本修业年限内，参评期间因国家和单位公派出国留学或校际交流在境外学习的研究生，仍具备研究生奖学金参评资格；因私出国留学、疾病、创业等原因未在校学习的研究生，期间内原则上不具备研究生奖学金参评资格。 </w:t>
      </w:r>
    </w:p>
    <w:p w14:paraId="45AC1AB3">
      <w:pPr>
        <w:widowControl/>
        <w:spacing w:line="540" w:lineRule="exact"/>
        <w:ind w:firstLine="643" w:firstLineChars="200"/>
        <w:rPr>
          <w:rFonts w:eastAsia="仿宋_GB2312"/>
          <w:color w:val="auto"/>
          <w:kern w:val="0"/>
          <w:sz w:val="32"/>
          <w:szCs w:val="32"/>
        </w:rPr>
      </w:pPr>
      <w:r>
        <w:rPr>
          <w:rFonts w:eastAsia="仿宋_GB2312"/>
          <w:b/>
          <w:color w:val="auto"/>
          <w:sz w:val="32"/>
          <w:szCs w:val="32"/>
        </w:rPr>
        <w:t xml:space="preserve">第八条  </w:t>
      </w:r>
      <w:r>
        <w:rPr>
          <w:rFonts w:eastAsia="仿宋_GB2312"/>
          <w:color w:val="auto"/>
          <w:sz w:val="32"/>
          <w:szCs w:val="32"/>
        </w:rPr>
        <w:t>直博生和招生简章中注明不授予中间学位的本硕博、硕博连读学生，根据当年所修课程的层次阶段确定身份参与学业奖学金的评定。在硕士课程学习阶段按照硕士研究生身份参与评定，进入博士课程学习阶段按照博士研究生身份参与评定。</w:t>
      </w:r>
    </w:p>
    <w:p w14:paraId="37610C81">
      <w:pPr>
        <w:widowControl/>
        <w:spacing w:before="156" w:beforeLines="50" w:after="156" w:afterLines="50" w:line="540" w:lineRule="exact"/>
        <w:jc w:val="center"/>
        <w:rPr>
          <w:rFonts w:eastAsia="黑体"/>
          <w:b/>
          <w:color w:val="auto"/>
          <w:sz w:val="32"/>
          <w:szCs w:val="32"/>
        </w:rPr>
      </w:pPr>
      <w:r>
        <w:rPr>
          <w:rFonts w:eastAsia="黑体"/>
          <w:b/>
          <w:color w:val="auto"/>
          <w:sz w:val="32"/>
          <w:szCs w:val="32"/>
        </w:rPr>
        <w:t xml:space="preserve">第三章 </w:t>
      </w:r>
      <w:r>
        <w:rPr>
          <w:rFonts w:hint="eastAsia" w:eastAsia="黑体"/>
          <w:b/>
          <w:color w:val="auto"/>
          <w:sz w:val="32"/>
          <w:szCs w:val="32"/>
        </w:rPr>
        <w:t xml:space="preserve"> </w:t>
      </w:r>
      <w:r>
        <w:rPr>
          <w:rFonts w:eastAsia="黑体"/>
          <w:b/>
          <w:color w:val="auto"/>
          <w:sz w:val="32"/>
          <w:szCs w:val="32"/>
        </w:rPr>
        <w:t>奖项设置</w:t>
      </w:r>
    </w:p>
    <w:p w14:paraId="0A9385D9">
      <w:pPr>
        <w:spacing w:line="540" w:lineRule="exact"/>
        <w:ind w:firstLine="643" w:firstLineChars="200"/>
        <w:rPr>
          <w:rFonts w:eastAsia="仿宋_GB2312"/>
          <w:color w:val="auto"/>
          <w:sz w:val="32"/>
          <w:szCs w:val="32"/>
        </w:rPr>
      </w:pPr>
      <w:r>
        <w:rPr>
          <w:rFonts w:eastAsia="仿宋_GB2312"/>
          <w:b/>
          <w:color w:val="auto"/>
          <w:sz w:val="32"/>
          <w:szCs w:val="32"/>
        </w:rPr>
        <w:t xml:space="preserve">第九条  </w:t>
      </w:r>
      <w:r>
        <w:rPr>
          <w:rFonts w:eastAsia="仿宋_GB2312"/>
          <w:color w:val="auto"/>
          <w:sz w:val="32"/>
          <w:szCs w:val="32"/>
        </w:rPr>
        <w:t>国家奖学金</w:t>
      </w:r>
    </w:p>
    <w:p w14:paraId="4AFCBB6B">
      <w:pPr>
        <w:spacing w:line="540" w:lineRule="exact"/>
        <w:ind w:firstLine="640" w:firstLineChars="200"/>
        <w:rPr>
          <w:rFonts w:eastAsia="仿宋_GB2312"/>
          <w:color w:val="auto"/>
          <w:sz w:val="32"/>
          <w:szCs w:val="32"/>
        </w:rPr>
      </w:pPr>
      <w:r>
        <w:rPr>
          <w:rFonts w:eastAsia="仿宋_GB2312"/>
          <w:color w:val="auto"/>
          <w:sz w:val="32"/>
          <w:szCs w:val="32"/>
        </w:rPr>
        <w:t>（一）奖励标准</w:t>
      </w:r>
    </w:p>
    <w:p w14:paraId="0F152B01">
      <w:pPr>
        <w:spacing w:line="540" w:lineRule="exact"/>
        <w:ind w:firstLine="640" w:firstLineChars="200"/>
        <w:rPr>
          <w:rFonts w:eastAsia="仿宋_GB2312"/>
          <w:color w:val="auto"/>
          <w:sz w:val="32"/>
          <w:szCs w:val="32"/>
        </w:rPr>
      </w:pPr>
      <w:r>
        <w:rPr>
          <w:rFonts w:eastAsia="仿宋_GB2312"/>
          <w:color w:val="auto"/>
          <w:sz w:val="32"/>
          <w:szCs w:val="32"/>
        </w:rPr>
        <w:t>博士研究生每生每年奖励3</w:t>
      </w:r>
      <w:r>
        <w:rPr>
          <w:rFonts w:hint="eastAsia" w:eastAsia="仿宋_GB2312"/>
          <w:color w:val="auto"/>
          <w:sz w:val="32"/>
          <w:szCs w:val="32"/>
        </w:rPr>
        <w:t>万</w:t>
      </w:r>
      <w:r>
        <w:rPr>
          <w:rFonts w:eastAsia="仿宋_GB2312"/>
          <w:color w:val="auto"/>
          <w:sz w:val="32"/>
          <w:szCs w:val="32"/>
        </w:rPr>
        <w:t>元，硕士研究生每生每年奖励2</w:t>
      </w:r>
      <w:r>
        <w:rPr>
          <w:rFonts w:hint="eastAsia" w:eastAsia="仿宋_GB2312"/>
          <w:color w:val="auto"/>
          <w:sz w:val="32"/>
          <w:szCs w:val="32"/>
        </w:rPr>
        <w:t>万</w:t>
      </w:r>
      <w:r>
        <w:rPr>
          <w:rFonts w:eastAsia="仿宋_GB2312"/>
          <w:color w:val="auto"/>
          <w:sz w:val="32"/>
          <w:szCs w:val="32"/>
        </w:rPr>
        <w:t>元。</w:t>
      </w:r>
    </w:p>
    <w:p w14:paraId="3E9FBDCF">
      <w:pPr>
        <w:spacing w:line="540" w:lineRule="exact"/>
        <w:ind w:firstLine="640" w:firstLineChars="200"/>
        <w:rPr>
          <w:rFonts w:eastAsia="仿宋_GB2312"/>
          <w:color w:val="auto"/>
          <w:sz w:val="32"/>
          <w:szCs w:val="32"/>
        </w:rPr>
      </w:pPr>
      <w:r>
        <w:rPr>
          <w:rFonts w:eastAsia="仿宋_GB2312"/>
          <w:color w:val="auto"/>
          <w:sz w:val="32"/>
          <w:szCs w:val="32"/>
        </w:rPr>
        <w:t>（二）名额分配</w:t>
      </w:r>
    </w:p>
    <w:p w14:paraId="29BB1BE4">
      <w:pPr>
        <w:spacing w:line="540" w:lineRule="exact"/>
        <w:ind w:firstLine="640" w:firstLineChars="200"/>
        <w:rPr>
          <w:rFonts w:eastAsia="仿宋_GB2312"/>
          <w:color w:val="auto"/>
          <w:sz w:val="32"/>
          <w:szCs w:val="32"/>
        </w:rPr>
      </w:pPr>
      <w:r>
        <w:rPr>
          <w:rFonts w:eastAsia="仿宋_GB2312"/>
          <w:color w:val="auto"/>
          <w:sz w:val="32"/>
          <w:szCs w:val="32"/>
        </w:rPr>
        <w:t>学校根据省教育厅当年分配名额，按各学院研究生规模、培养质量及上一年度国家奖学金评定情况进行分配。</w:t>
      </w:r>
    </w:p>
    <w:p w14:paraId="5E5D061B">
      <w:pPr>
        <w:spacing w:line="540" w:lineRule="exact"/>
        <w:ind w:firstLine="640" w:firstLineChars="200"/>
        <w:rPr>
          <w:rFonts w:eastAsia="仿宋_GB2312"/>
          <w:color w:val="auto"/>
          <w:sz w:val="32"/>
          <w:szCs w:val="32"/>
        </w:rPr>
      </w:pPr>
      <w:r>
        <w:rPr>
          <w:rFonts w:eastAsia="仿宋_GB2312"/>
          <w:color w:val="auto"/>
          <w:sz w:val="32"/>
          <w:szCs w:val="32"/>
        </w:rPr>
        <w:t>（三）评奖条件</w:t>
      </w:r>
    </w:p>
    <w:p w14:paraId="712F77E7">
      <w:pPr>
        <w:spacing w:line="540" w:lineRule="exact"/>
        <w:ind w:firstLine="640" w:firstLineChars="200"/>
        <w:rPr>
          <w:rFonts w:eastAsia="仿宋_GB2312"/>
          <w:color w:val="auto"/>
          <w:sz w:val="32"/>
          <w:szCs w:val="32"/>
        </w:rPr>
      </w:pPr>
      <w:r>
        <w:rPr>
          <w:rFonts w:eastAsia="仿宋_GB2312"/>
          <w:color w:val="auto"/>
          <w:sz w:val="32"/>
          <w:szCs w:val="32"/>
        </w:rPr>
        <w:t>博士研究生申请国家奖学金，除符合第五条规定的基本条件外，须同时具备以下条件：</w:t>
      </w:r>
      <w:r>
        <w:rPr>
          <w:rFonts w:hint="eastAsia" w:ascii="宋体" w:hAnsi="宋体" w:cs="宋体"/>
          <w:color w:val="auto"/>
          <w:sz w:val="32"/>
          <w:szCs w:val="32"/>
        </w:rPr>
        <w:t>①</w:t>
      </w:r>
      <w:r>
        <w:rPr>
          <w:rFonts w:eastAsia="仿宋_GB2312"/>
          <w:color w:val="auto"/>
          <w:sz w:val="32"/>
          <w:szCs w:val="32"/>
        </w:rPr>
        <w:t>文科博士研究生至少有一项《西北师范大学教学科研</w:t>
      </w:r>
      <w:r>
        <w:rPr>
          <w:rFonts w:hint="eastAsia" w:eastAsia="仿宋_GB2312"/>
          <w:color w:val="auto"/>
          <w:sz w:val="32"/>
          <w:szCs w:val="32"/>
        </w:rPr>
        <w:t>项目、</w:t>
      </w:r>
      <w:r>
        <w:rPr>
          <w:rFonts w:eastAsia="仿宋_GB2312"/>
          <w:color w:val="auto"/>
          <w:sz w:val="32"/>
          <w:szCs w:val="32"/>
        </w:rPr>
        <w:t>成果</w:t>
      </w:r>
      <w:r>
        <w:rPr>
          <w:rFonts w:hint="eastAsia" w:eastAsia="仿宋_GB2312"/>
          <w:color w:val="auto"/>
          <w:sz w:val="32"/>
          <w:szCs w:val="32"/>
        </w:rPr>
        <w:t>分类</w:t>
      </w:r>
      <w:r>
        <w:rPr>
          <w:rFonts w:eastAsia="仿宋_GB2312"/>
          <w:color w:val="auto"/>
          <w:sz w:val="32"/>
          <w:szCs w:val="32"/>
        </w:rPr>
        <w:t>办法》（</w:t>
      </w:r>
      <w:r>
        <w:rPr>
          <w:rFonts w:hint="eastAsia" w:eastAsia="仿宋_GB2312"/>
          <w:color w:val="auto"/>
          <w:sz w:val="32"/>
          <w:szCs w:val="32"/>
        </w:rPr>
        <w:t>西师发</w:t>
      </w:r>
      <w:r>
        <w:rPr>
          <w:rFonts w:eastAsia="仿宋_GB2312"/>
          <w:color w:val="auto"/>
          <w:sz w:val="32"/>
          <w:szCs w:val="32"/>
        </w:rPr>
        <w:t>〔2021〕</w:t>
      </w:r>
      <w:r>
        <w:rPr>
          <w:rFonts w:hint="eastAsia" w:eastAsia="仿宋_GB2312"/>
          <w:color w:val="auto"/>
          <w:sz w:val="32"/>
          <w:szCs w:val="32"/>
        </w:rPr>
        <w:t>1</w:t>
      </w:r>
      <w:r>
        <w:rPr>
          <w:rFonts w:eastAsia="仿宋_GB2312"/>
          <w:color w:val="auto"/>
          <w:sz w:val="32"/>
          <w:szCs w:val="32"/>
        </w:rPr>
        <w:t>60号）规定的B类科研成果，理科博士研究生至少有一项《西北师范大学教学科研成果认定办法》规定的A类科研成果；</w:t>
      </w:r>
      <w:r>
        <w:rPr>
          <w:rFonts w:hint="eastAsia" w:ascii="宋体" w:hAnsi="宋体" w:cs="宋体"/>
          <w:color w:val="auto"/>
          <w:sz w:val="32"/>
          <w:szCs w:val="32"/>
        </w:rPr>
        <w:t>②</w:t>
      </w:r>
      <w:r>
        <w:rPr>
          <w:rFonts w:eastAsia="仿宋_GB2312"/>
          <w:color w:val="auto"/>
          <w:sz w:val="32"/>
          <w:szCs w:val="32"/>
        </w:rPr>
        <w:t>上一年度各门课程平均成绩达到80分以上；</w:t>
      </w:r>
      <w:r>
        <w:rPr>
          <w:rFonts w:hint="eastAsia" w:ascii="宋体" w:hAnsi="宋体" w:cs="宋体"/>
          <w:color w:val="auto"/>
          <w:sz w:val="32"/>
          <w:szCs w:val="32"/>
        </w:rPr>
        <w:t>③</w:t>
      </w:r>
      <w:r>
        <w:rPr>
          <w:rFonts w:eastAsia="仿宋_GB2312"/>
          <w:color w:val="auto"/>
          <w:sz w:val="32"/>
          <w:szCs w:val="32"/>
        </w:rPr>
        <w:t>至少参加过一项社会工作；</w:t>
      </w:r>
      <w:r>
        <w:rPr>
          <w:rFonts w:hint="eastAsia" w:ascii="宋体" w:hAnsi="宋体" w:cs="宋体"/>
          <w:color w:val="auto"/>
          <w:sz w:val="32"/>
          <w:szCs w:val="32"/>
        </w:rPr>
        <w:t>④</w:t>
      </w:r>
      <w:r>
        <w:rPr>
          <w:rFonts w:eastAsia="仿宋_GB2312"/>
          <w:color w:val="auto"/>
          <w:sz w:val="32"/>
          <w:szCs w:val="32"/>
        </w:rPr>
        <w:t>符合学院制定的申请国家奖学金的其他条件。</w:t>
      </w:r>
    </w:p>
    <w:p w14:paraId="64B25908">
      <w:pPr>
        <w:spacing w:line="540" w:lineRule="exact"/>
        <w:ind w:firstLine="640" w:firstLineChars="200"/>
        <w:rPr>
          <w:rFonts w:eastAsia="仿宋_GB2312"/>
          <w:color w:val="auto"/>
          <w:sz w:val="32"/>
          <w:szCs w:val="32"/>
        </w:rPr>
      </w:pPr>
      <w:r>
        <w:rPr>
          <w:rFonts w:eastAsia="仿宋_GB2312"/>
          <w:color w:val="auto"/>
          <w:sz w:val="32"/>
          <w:szCs w:val="32"/>
        </w:rPr>
        <w:t>硕士研究生申请国家奖学金，除符合第五条规定的基本条件外，须同时具备学院制定的申请国家奖学金的其他条件。</w:t>
      </w:r>
    </w:p>
    <w:p w14:paraId="14F84B7F">
      <w:pPr>
        <w:spacing w:line="540" w:lineRule="exact"/>
        <w:ind w:firstLine="643" w:firstLineChars="200"/>
        <w:rPr>
          <w:rFonts w:eastAsia="仿宋_GB2312"/>
          <w:color w:val="auto"/>
          <w:sz w:val="32"/>
          <w:szCs w:val="32"/>
        </w:rPr>
      </w:pPr>
      <w:r>
        <w:rPr>
          <w:rFonts w:eastAsia="仿宋_GB2312"/>
          <w:b/>
          <w:color w:val="auto"/>
          <w:sz w:val="32"/>
          <w:szCs w:val="32"/>
        </w:rPr>
        <w:t>第十条</w:t>
      </w:r>
      <w:r>
        <w:rPr>
          <w:rFonts w:eastAsia="仿宋_GB2312"/>
          <w:color w:val="auto"/>
          <w:sz w:val="32"/>
          <w:szCs w:val="32"/>
        </w:rPr>
        <w:t xml:space="preserve">  学业奖学金</w:t>
      </w:r>
    </w:p>
    <w:p w14:paraId="74C30C95">
      <w:pPr>
        <w:spacing w:line="540" w:lineRule="exact"/>
        <w:ind w:firstLine="640" w:firstLineChars="200"/>
        <w:rPr>
          <w:rFonts w:eastAsia="仿宋_GB2312"/>
          <w:color w:val="auto"/>
          <w:sz w:val="32"/>
          <w:szCs w:val="32"/>
        </w:rPr>
      </w:pPr>
      <w:r>
        <w:rPr>
          <w:rFonts w:eastAsia="仿宋_GB2312"/>
          <w:color w:val="auto"/>
          <w:sz w:val="32"/>
          <w:szCs w:val="32"/>
        </w:rPr>
        <w:t>学业奖学金分为综合奖学金和单项奖学金。</w:t>
      </w:r>
    </w:p>
    <w:p w14:paraId="6A347266">
      <w:pPr>
        <w:spacing w:line="540" w:lineRule="exact"/>
        <w:ind w:firstLine="640" w:firstLineChars="200"/>
        <w:rPr>
          <w:rFonts w:eastAsia="仿宋_GB2312"/>
          <w:color w:val="auto"/>
          <w:sz w:val="32"/>
          <w:szCs w:val="32"/>
        </w:rPr>
      </w:pPr>
      <w:r>
        <w:rPr>
          <w:rFonts w:eastAsia="仿宋_GB2312"/>
          <w:color w:val="auto"/>
          <w:sz w:val="32"/>
          <w:szCs w:val="32"/>
        </w:rPr>
        <w:t>（一）综合奖学金</w:t>
      </w:r>
    </w:p>
    <w:p w14:paraId="600F2E2F">
      <w:pPr>
        <w:spacing w:line="540" w:lineRule="exact"/>
        <w:ind w:firstLine="640" w:firstLineChars="200"/>
        <w:rPr>
          <w:rFonts w:eastAsia="仿宋_GB2312"/>
          <w:color w:val="auto"/>
          <w:sz w:val="32"/>
          <w:szCs w:val="32"/>
        </w:rPr>
      </w:pPr>
      <w:r>
        <w:rPr>
          <w:rFonts w:eastAsia="仿宋_GB2312"/>
          <w:color w:val="auto"/>
          <w:sz w:val="32"/>
          <w:szCs w:val="32"/>
        </w:rPr>
        <w:t>1.奖励标准</w:t>
      </w:r>
    </w:p>
    <w:p w14:paraId="55AB94EF">
      <w:pPr>
        <w:spacing w:line="540" w:lineRule="exact"/>
        <w:ind w:firstLine="640" w:firstLineChars="200"/>
        <w:rPr>
          <w:rFonts w:eastAsia="仿宋_GB2312"/>
          <w:color w:val="auto"/>
          <w:sz w:val="32"/>
          <w:szCs w:val="32"/>
        </w:rPr>
      </w:pPr>
      <w:r>
        <w:rPr>
          <w:rFonts w:eastAsia="仿宋_GB2312"/>
          <w:color w:val="auto"/>
          <w:sz w:val="32"/>
          <w:szCs w:val="32"/>
        </w:rPr>
        <w:t>综合奖学金设三个等次，奖励比例和标准如</w:t>
      </w:r>
      <w:r>
        <w:rPr>
          <w:rFonts w:hint="eastAsia" w:eastAsia="仿宋_GB2312"/>
          <w:color w:val="auto"/>
          <w:sz w:val="32"/>
          <w:szCs w:val="32"/>
        </w:rPr>
        <w:t>下</w:t>
      </w:r>
      <w:r>
        <w:rPr>
          <w:rFonts w:eastAsia="仿宋_GB2312"/>
          <w:color w:val="auto"/>
          <w:sz w:val="32"/>
          <w:szCs w:val="32"/>
        </w:rPr>
        <w:t>表所示。</w:t>
      </w:r>
    </w:p>
    <w:p w14:paraId="2033EA27">
      <w:pPr>
        <w:spacing w:line="540" w:lineRule="exact"/>
        <w:ind w:firstLine="480" w:firstLineChars="150"/>
        <w:jc w:val="center"/>
        <w:rPr>
          <w:rFonts w:eastAsia="仿宋_GB2312"/>
          <w:color w:val="auto"/>
          <w:sz w:val="32"/>
          <w:szCs w:val="32"/>
        </w:rPr>
      </w:pPr>
      <w:r>
        <w:rPr>
          <w:rFonts w:eastAsia="新宋体"/>
          <w:color w:val="auto"/>
          <w:sz w:val="32"/>
          <w:szCs w:val="32"/>
        </w:rPr>
        <w:t>研究生学业综合奖学金等次、奖励比例和标准</w:t>
      </w:r>
    </w:p>
    <w:tbl>
      <w:tblPr>
        <w:tblStyle w:val="8"/>
        <w:tblW w:w="47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0"/>
        <w:gridCol w:w="1000"/>
        <w:gridCol w:w="1365"/>
        <w:gridCol w:w="1618"/>
        <w:gridCol w:w="2272"/>
      </w:tblGrid>
      <w:tr w14:paraId="2B8C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127" w:type="pct"/>
            <w:shd w:val="clear" w:color="auto" w:fill="auto"/>
            <w:noWrap w:val="0"/>
            <w:vAlign w:val="center"/>
          </w:tcPr>
          <w:p w14:paraId="65DE1CB6">
            <w:pPr>
              <w:spacing w:line="540" w:lineRule="exact"/>
              <w:jc w:val="center"/>
              <w:rPr>
                <w:rFonts w:eastAsia="仿宋_GB2312"/>
                <w:b/>
                <w:bCs/>
                <w:color w:val="auto"/>
                <w:sz w:val="32"/>
                <w:szCs w:val="32"/>
              </w:rPr>
            </w:pPr>
            <w:r>
              <w:rPr>
                <w:rFonts w:eastAsia="仿宋_GB2312"/>
                <w:b/>
                <w:bCs/>
                <w:color w:val="auto"/>
                <w:sz w:val="32"/>
                <w:szCs w:val="32"/>
              </w:rPr>
              <w:t>学生录取类别</w:t>
            </w:r>
          </w:p>
        </w:tc>
        <w:tc>
          <w:tcPr>
            <w:tcW w:w="619" w:type="pct"/>
            <w:shd w:val="clear" w:color="auto" w:fill="auto"/>
            <w:noWrap w:val="0"/>
            <w:vAlign w:val="center"/>
          </w:tcPr>
          <w:p w14:paraId="6214D305">
            <w:pPr>
              <w:spacing w:line="540" w:lineRule="exact"/>
              <w:jc w:val="center"/>
              <w:rPr>
                <w:rFonts w:eastAsia="仿宋_GB2312"/>
                <w:b/>
                <w:bCs/>
                <w:color w:val="auto"/>
                <w:sz w:val="32"/>
                <w:szCs w:val="32"/>
              </w:rPr>
            </w:pPr>
            <w:r>
              <w:rPr>
                <w:rFonts w:eastAsia="仿宋_GB2312"/>
                <w:b/>
                <w:bCs/>
                <w:color w:val="auto"/>
                <w:sz w:val="32"/>
                <w:szCs w:val="32"/>
              </w:rPr>
              <w:t>等次</w:t>
            </w:r>
          </w:p>
        </w:tc>
        <w:tc>
          <w:tcPr>
            <w:tcW w:w="845" w:type="pct"/>
            <w:shd w:val="clear" w:color="auto" w:fill="auto"/>
            <w:noWrap w:val="0"/>
            <w:vAlign w:val="center"/>
          </w:tcPr>
          <w:p w14:paraId="76A62B6F">
            <w:pPr>
              <w:spacing w:line="540" w:lineRule="exact"/>
              <w:jc w:val="center"/>
              <w:rPr>
                <w:rFonts w:eastAsia="仿宋_GB2312"/>
                <w:b/>
                <w:bCs/>
                <w:color w:val="auto"/>
                <w:sz w:val="32"/>
                <w:szCs w:val="32"/>
              </w:rPr>
            </w:pPr>
            <w:r>
              <w:rPr>
                <w:rFonts w:eastAsia="仿宋_GB2312"/>
                <w:b/>
                <w:bCs/>
                <w:color w:val="auto"/>
                <w:sz w:val="32"/>
                <w:szCs w:val="32"/>
              </w:rPr>
              <w:t>奖励比例</w:t>
            </w:r>
          </w:p>
        </w:tc>
        <w:tc>
          <w:tcPr>
            <w:tcW w:w="1002" w:type="pct"/>
            <w:shd w:val="clear" w:color="auto" w:fill="auto"/>
            <w:noWrap w:val="0"/>
            <w:vAlign w:val="center"/>
          </w:tcPr>
          <w:p w14:paraId="7CCA6DB1">
            <w:pPr>
              <w:spacing w:line="540" w:lineRule="exact"/>
              <w:jc w:val="center"/>
              <w:rPr>
                <w:rFonts w:eastAsia="仿宋_GB2312"/>
                <w:b/>
                <w:bCs/>
                <w:color w:val="auto"/>
                <w:sz w:val="32"/>
                <w:szCs w:val="32"/>
              </w:rPr>
            </w:pPr>
            <w:r>
              <w:rPr>
                <w:rFonts w:eastAsia="仿宋_GB2312"/>
                <w:b/>
                <w:bCs/>
                <w:color w:val="auto"/>
                <w:sz w:val="32"/>
                <w:szCs w:val="32"/>
              </w:rPr>
              <w:t>标准（</w:t>
            </w:r>
            <w:r>
              <w:rPr>
                <w:rFonts w:hint="eastAsia" w:eastAsia="仿宋_GB2312"/>
                <w:b/>
                <w:bCs/>
                <w:color w:val="auto"/>
                <w:sz w:val="32"/>
                <w:szCs w:val="32"/>
              </w:rPr>
              <w:t>万</w:t>
            </w:r>
            <w:r>
              <w:rPr>
                <w:rFonts w:eastAsia="仿宋_GB2312"/>
                <w:b/>
                <w:bCs/>
                <w:color w:val="auto"/>
                <w:sz w:val="32"/>
                <w:szCs w:val="32"/>
              </w:rPr>
              <w:t>元/年）</w:t>
            </w:r>
          </w:p>
        </w:tc>
        <w:tc>
          <w:tcPr>
            <w:tcW w:w="1407" w:type="pct"/>
            <w:shd w:val="clear" w:color="auto" w:fill="auto"/>
            <w:noWrap w:val="0"/>
            <w:vAlign w:val="center"/>
          </w:tcPr>
          <w:p w14:paraId="47BFE1F1">
            <w:pPr>
              <w:spacing w:line="540" w:lineRule="exact"/>
              <w:jc w:val="center"/>
              <w:rPr>
                <w:rFonts w:eastAsia="仿宋_GB2312"/>
                <w:b/>
                <w:bCs/>
                <w:color w:val="auto"/>
                <w:sz w:val="32"/>
                <w:szCs w:val="32"/>
              </w:rPr>
            </w:pPr>
            <w:r>
              <w:rPr>
                <w:rFonts w:eastAsia="仿宋_GB2312"/>
                <w:b/>
                <w:bCs/>
                <w:color w:val="auto"/>
                <w:sz w:val="32"/>
                <w:szCs w:val="32"/>
              </w:rPr>
              <w:t>备注</w:t>
            </w:r>
          </w:p>
        </w:tc>
      </w:tr>
      <w:tr w14:paraId="276B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27" w:type="pct"/>
            <w:vMerge w:val="restart"/>
            <w:shd w:val="clear" w:color="auto" w:fill="auto"/>
            <w:noWrap w:val="0"/>
            <w:vAlign w:val="center"/>
          </w:tcPr>
          <w:p w14:paraId="49521349">
            <w:pPr>
              <w:spacing w:line="540" w:lineRule="exact"/>
              <w:jc w:val="center"/>
              <w:rPr>
                <w:rFonts w:eastAsia="仿宋_GB2312"/>
                <w:color w:val="auto"/>
                <w:sz w:val="24"/>
              </w:rPr>
            </w:pPr>
            <w:r>
              <w:rPr>
                <w:rFonts w:eastAsia="仿宋_GB2312"/>
                <w:color w:val="auto"/>
                <w:sz w:val="24"/>
              </w:rPr>
              <w:t>博士</w:t>
            </w:r>
          </w:p>
          <w:p w14:paraId="41972F2F">
            <w:pPr>
              <w:spacing w:line="540" w:lineRule="exact"/>
              <w:rPr>
                <w:rFonts w:eastAsia="仿宋_GB2312"/>
                <w:color w:val="auto"/>
                <w:sz w:val="24"/>
              </w:rPr>
            </w:pPr>
            <w:r>
              <w:rPr>
                <w:rFonts w:eastAsia="仿宋_GB2312"/>
                <w:color w:val="auto"/>
                <w:sz w:val="24"/>
              </w:rPr>
              <w:t>（非定向就业）</w:t>
            </w:r>
          </w:p>
        </w:tc>
        <w:tc>
          <w:tcPr>
            <w:tcW w:w="619" w:type="pct"/>
            <w:shd w:val="clear" w:color="auto" w:fill="auto"/>
            <w:noWrap w:val="0"/>
            <w:vAlign w:val="center"/>
          </w:tcPr>
          <w:p w14:paraId="56C5D822">
            <w:pPr>
              <w:spacing w:line="540" w:lineRule="exact"/>
              <w:jc w:val="center"/>
              <w:rPr>
                <w:rFonts w:eastAsia="仿宋_GB2312"/>
                <w:color w:val="auto"/>
                <w:sz w:val="24"/>
              </w:rPr>
            </w:pPr>
            <w:r>
              <w:rPr>
                <w:rFonts w:eastAsia="仿宋_GB2312"/>
                <w:color w:val="auto"/>
                <w:sz w:val="24"/>
              </w:rPr>
              <w:t>一等</w:t>
            </w:r>
          </w:p>
        </w:tc>
        <w:tc>
          <w:tcPr>
            <w:tcW w:w="845" w:type="pct"/>
            <w:shd w:val="clear" w:color="auto" w:fill="auto"/>
            <w:noWrap w:val="0"/>
            <w:vAlign w:val="center"/>
          </w:tcPr>
          <w:p w14:paraId="2B4E8632">
            <w:pPr>
              <w:spacing w:line="540" w:lineRule="exact"/>
              <w:jc w:val="center"/>
              <w:rPr>
                <w:rFonts w:eastAsia="仿宋_GB2312"/>
                <w:color w:val="auto"/>
                <w:sz w:val="24"/>
              </w:rPr>
            </w:pPr>
            <w:r>
              <w:rPr>
                <w:rFonts w:eastAsia="仿宋_GB2312"/>
                <w:color w:val="auto"/>
                <w:sz w:val="24"/>
              </w:rPr>
              <w:t>20%</w:t>
            </w:r>
          </w:p>
        </w:tc>
        <w:tc>
          <w:tcPr>
            <w:tcW w:w="1002" w:type="pct"/>
            <w:shd w:val="clear" w:color="auto" w:fill="auto"/>
            <w:noWrap w:val="0"/>
            <w:vAlign w:val="center"/>
          </w:tcPr>
          <w:p w14:paraId="735A148E">
            <w:pPr>
              <w:spacing w:line="540" w:lineRule="exact"/>
              <w:jc w:val="center"/>
              <w:rPr>
                <w:rFonts w:eastAsia="仿宋_GB2312"/>
                <w:color w:val="auto"/>
                <w:sz w:val="24"/>
              </w:rPr>
            </w:pPr>
            <w:r>
              <w:rPr>
                <w:rFonts w:eastAsia="仿宋_GB2312"/>
                <w:color w:val="auto"/>
                <w:sz w:val="24"/>
              </w:rPr>
              <w:t>1</w:t>
            </w:r>
            <w:r>
              <w:rPr>
                <w:rFonts w:hint="eastAsia" w:eastAsia="仿宋_GB2312"/>
                <w:color w:val="auto"/>
                <w:sz w:val="24"/>
              </w:rPr>
              <w:t>.</w:t>
            </w:r>
            <w:r>
              <w:rPr>
                <w:rFonts w:eastAsia="仿宋_GB2312"/>
                <w:color w:val="auto"/>
                <w:sz w:val="24"/>
              </w:rPr>
              <w:t>8</w:t>
            </w:r>
          </w:p>
        </w:tc>
        <w:tc>
          <w:tcPr>
            <w:tcW w:w="1407" w:type="pct"/>
            <w:vMerge w:val="restart"/>
            <w:shd w:val="clear" w:color="auto" w:fill="auto"/>
            <w:noWrap w:val="0"/>
            <w:vAlign w:val="center"/>
          </w:tcPr>
          <w:p w14:paraId="24AD96CC">
            <w:pPr>
              <w:spacing w:line="540" w:lineRule="exact"/>
              <w:jc w:val="left"/>
              <w:rPr>
                <w:rFonts w:eastAsia="仿宋_GB2312"/>
                <w:color w:val="auto"/>
                <w:sz w:val="32"/>
                <w:szCs w:val="32"/>
              </w:rPr>
            </w:pPr>
          </w:p>
        </w:tc>
      </w:tr>
      <w:tr w14:paraId="0747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27" w:type="pct"/>
            <w:vMerge w:val="continue"/>
            <w:shd w:val="clear" w:color="auto" w:fill="auto"/>
            <w:noWrap w:val="0"/>
            <w:vAlign w:val="center"/>
          </w:tcPr>
          <w:p w14:paraId="1B44CFEC">
            <w:pPr>
              <w:spacing w:line="540" w:lineRule="exact"/>
              <w:jc w:val="center"/>
              <w:rPr>
                <w:rFonts w:eastAsia="仿宋_GB2312"/>
                <w:color w:val="auto"/>
                <w:sz w:val="24"/>
              </w:rPr>
            </w:pPr>
          </w:p>
        </w:tc>
        <w:tc>
          <w:tcPr>
            <w:tcW w:w="619" w:type="pct"/>
            <w:shd w:val="clear" w:color="auto" w:fill="auto"/>
            <w:noWrap w:val="0"/>
            <w:vAlign w:val="center"/>
          </w:tcPr>
          <w:p w14:paraId="1A253034">
            <w:pPr>
              <w:spacing w:line="540" w:lineRule="exact"/>
              <w:jc w:val="center"/>
              <w:rPr>
                <w:rFonts w:eastAsia="仿宋_GB2312"/>
                <w:color w:val="auto"/>
                <w:sz w:val="24"/>
              </w:rPr>
            </w:pPr>
            <w:r>
              <w:rPr>
                <w:rFonts w:eastAsia="仿宋_GB2312"/>
                <w:color w:val="auto"/>
                <w:sz w:val="24"/>
              </w:rPr>
              <w:t>二等</w:t>
            </w:r>
          </w:p>
        </w:tc>
        <w:tc>
          <w:tcPr>
            <w:tcW w:w="845" w:type="pct"/>
            <w:shd w:val="clear" w:color="auto" w:fill="auto"/>
            <w:noWrap w:val="0"/>
            <w:vAlign w:val="center"/>
          </w:tcPr>
          <w:p w14:paraId="1663E757">
            <w:pPr>
              <w:spacing w:line="540" w:lineRule="exact"/>
              <w:jc w:val="center"/>
              <w:rPr>
                <w:rFonts w:eastAsia="仿宋_GB2312"/>
                <w:color w:val="auto"/>
                <w:sz w:val="24"/>
              </w:rPr>
            </w:pPr>
            <w:r>
              <w:rPr>
                <w:rFonts w:eastAsia="仿宋_GB2312"/>
                <w:color w:val="auto"/>
                <w:sz w:val="24"/>
              </w:rPr>
              <w:t>30%</w:t>
            </w:r>
          </w:p>
        </w:tc>
        <w:tc>
          <w:tcPr>
            <w:tcW w:w="1002" w:type="pct"/>
            <w:shd w:val="clear" w:color="auto" w:fill="auto"/>
            <w:noWrap w:val="0"/>
            <w:vAlign w:val="center"/>
          </w:tcPr>
          <w:p w14:paraId="6E9C880D">
            <w:pPr>
              <w:spacing w:line="540" w:lineRule="exact"/>
              <w:jc w:val="center"/>
              <w:rPr>
                <w:rFonts w:eastAsia="仿宋_GB2312"/>
                <w:color w:val="auto"/>
                <w:sz w:val="24"/>
              </w:rPr>
            </w:pPr>
            <w:r>
              <w:rPr>
                <w:rFonts w:eastAsia="仿宋_GB2312"/>
                <w:color w:val="auto"/>
                <w:sz w:val="24"/>
              </w:rPr>
              <w:t>1</w:t>
            </w:r>
            <w:r>
              <w:rPr>
                <w:rFonts w:hint="eastAsia" w:eastAsia="仿宋_GB2312"/>
                <w:color w:val="auto"/>
                <w:sz w:val="24"/>
              </w:rPr>
              <w:t>.</w:t>
            </w:r>
            <w:r>
              <w:rPr>
                <w:rFonts w:eastAsia="仿宋_GB2312"/>
                <w:color w:val="auto"/>
                <w:sz w:val="24"/>
              </w:rPr>
              <w:t>4</w:t>
            </w:r>
          </w:p>
        </w:tc>
        <w:tc>
          <w:tcPr>
            <w:tcW w:w="1407" w:type="pct"/>
            <w:vMerge w:val="continue"/>
            <w:shd w:val="clear" w:color="auto" w:fill="auto"/>
            <w:noWrap w:val="0"/>
            <w:vAlign w:val="center"/>
          </w:tcPr>
          <w:p w14:paraId="7206BDB9">
            <w:pPr>
              <w:spacing w:line="540" w:lineRule="exact"/>
              <w:jc w:val="left"/>
              <w:rPr>
                <w:rFonts w:eastAsia="仿宋_GB2312"/>
                <w:color w:val="auto"/>
                <w:sz w:val="32"/>
                <w:szCs w:val="32"/>
              </w:rPr>
            </w:pPr>
          </w:p>
        </w:tc>
      </w:tr>
      <w:tr w14:paraId="480E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27" w:type="pct"/>
            <w:vMerge w:val="continue"/>
            <w:shd w:val="clear" w:color="auto" w:fill="auto"/>
            <w:noWrap w:val="0"/>
            <w:vAlign w:val="center"/>
          </w:tcPr>
          <w:p w14:paraId="4B385A18">
            <w:pPr>
              <w:spacing w:line="540" w:lineRule="exact"/>
              <w:jc w:val="center"/>
              <w:rPr>
                <w:rFonts w:eastAsia="仿宋_GB2312"/>
                <w:color w:val="auto"/>
                <w:sz w:val="24"/>
              </w:rPr>
            </w:pPr>
          </w:p>
        </w:tc>
        <w:tc>
          <w:tcPr>
            <w:tcW w:w="619" w:type="pct"/>
            <w:shd w:val="clear" w:color="auto" w:fill="auto"/>
            <w:noWrap w:val="0"/>
            <w:vAlign w:val="center"/>
          </w:tcPr>
          <w:p w14:paraId="241588FF">
            <w:pPr>
              <w:spacing w:line="540" w:lineRule="exact"/>
              <w:jc w:val="center"/>
              <w:rPr>
                <w:rFonts w:eastAsia="仿宋_GB2312"/>
                <w:color w:val="auto"/>
                <w:sz w:val="24"/>
              </w:rPr>
            </w:pPr>
            <w:r>
              <w:rPr>
                <w:rFonts w:eastAsia="仿宋_GB2312"/>
                <w:color w:val="auto"/>
                <w:sz w:val="24"/>
              </w:rPr>
              <w:t>三等</w:t>
            </w:r>
          </w:p>
        </w:tc>
        <w:tc>
          <w:tcPr>
            <w:tcW w:w="845" w:type="pct"/>
            <w:shd w:val="clear" w:color="auto" w:fill="auto"/>
            <w:noWrap w:val="0"/>
            <w:vAlign w:val="center"/>
          </w:tcPr>
          <w:p w14:paraId="00837CCF">
            <w:pPr>
              <w:spacing w:line="540" w:lineRule="exact"/>
              <w:jc w:val="center"/>
              <w:rPr>
                <w:rFonts w:eastAsia="仿宋_GB2312"/>
                <w:color w:val="auto"/>
                <w:sz w:val="24"/>
              </w:rPr>
            </w:pPr>
            <w:r>
              <w:rPr>
                <w:rFonts w:eastAsia="仿宋_GB2312"/>
                <w:color w:val="auto"/>
                <w:sz w:val="24"/>
              </w:rPr>
              <w:t>50%</w:t>
            </w:r>
          </w:p>
        </w:tc>
        <w:tc>
          <w:tcPr>
            <w:tcW w:w="1002" w:type="pct"/>
            <w:shd w:val="clear" w:color="auto" w:fill="auto"/>
            <w:noWrap w:val="0"/>
            <w:vAlign w:val="center"/>
          </w:tcPr>
          <w:p w14:paraId="54D7DFAE">
            <w:pPr>
              <w:spacing w:line="540" w:lineRule="exact"/>
              <w:jc w:val="center"/>
              <w:rPr>
                <w:rFonts w:eastAsia="仿宋_GB2312"/>
                <w:color w:val="auto"/>
                <w:sz w:val="24"/>
              </w:rPr>
            </w:pPr>
            <w:r>
              <w:rPr>
                <w:rFonts w:eastAsia="仿宋_GB2312"/>
                <w:color w:val="auto"/>
                <w:sz w:val="24"/>
              </w:rPr>
              <w:t>1</w:t>
            </w:r>
          </w:p>
        </w:tc>
        <w:tc>
          <w:tcPr>
            <w:tcW w:w="1407" w:type="pct"/>
            <w:vMerge w:val="continue"/>
            <w:shd w:val="clear" w:color="auto" w:fill="auto"/>
            <w:noWrap w:val="0"/>
            <w:vAlign w:val="center"/>
          </w:tcPr>
          <w:p w14:paraId="44BD0680">
            <w:pPr>
              <w:spacing w:line="540" w:lineRule="exact"/>
              <w:jc w:val="left"/>
              <w:rPr>
                <w:rFonts w:eastAsia="仿宋_GB2312"/>
                <w:color w:val="auto"/>
                <w:sz w:val="32"/>
                <w:szCs w:val="32"/>
              </w:rPr>
            </w:pPr>
          </w:p>
        </w:tc>
      </w:tr>
      <w:tr w14:paraId="156E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27" w:type="pct"/>
            <w:vMerge w:val="restart"/>
            <w:shd w:val="clear" w:color="auto" w:fill="auto"/>
            <w:noWrap w:val="0"/>
            <w:vAlign w:val="center"/>
          </w:tcPr>
          <w:p w14:paraId="69D1FFE3">
            <w:pPr>
              <w:spacing w:line="540" w:lineRule="exact"/>
              <w:jc w:val="center"/>
              <w:rPr>
                <w:rFonts w:eastAsia="仿宋_GB2312"/>
                <w:color w:val="auto"/>
                <w:sz w:val="24"/>
              </w:rPr>
            </w:pPr>
            <w:r>
              <w:rPr>
                <w:rFonts w:eastAsia="仿宋_GB2312"/>
                <w:color w:val="auto"/>
                <w:sz w:val="24"/>
              </w:rPr>
              <w:t>硕士</w:t>
            </w:r>
          </w:p>
          <w:p w14:paraId="552A5BDE">
            <w:pPr>
              <w:spacing w:line="540" w:lineRule="exact"/>
              <w:jc w:val="center"/>
              <w:rPr>
                <w:rFonts w:eastAsia="仿宋_GB2312"/>
                <w:color w:val="auto"/>
                <w:sz w:val="24"/>
              </w:rPr>
            </w:pPr>
            <w:r>
              <w:rPr>
                <w:rFonts w:eastAsia="仿宋_GB2312"/>
                <w:color w:val="auto"/>
                <w:sz w:val="24"/>
              </w:rPr>
              <w:t>（非定向就业）</w:t>
            </w:r>
          </w:p>
        </w:tc>
        <w:tc>
          <w:tcPr>
            <w:tcW w:w="619" w:type="pct"/>
            <w:shd w:val="clear" w:color="auto" w:fill="auto"/>
            <w:noWrap w:val="0"/>
            <w:vAlign w:val="center"/>
          </w:tcPr>
          <w:p w14:paraId="7F52AD36">
            <w:pPr>
              <w:spacing w:line="540" w:lineRule="exact"/>
              <w:jc w:val="center"/>
              <w:rPr>
                <w:rFonts w:eastAsia="仿宋_GB2312"/>
                <w:color w:val="auto"/>
                <w:sz w:val="24"/>
              </w:rPr>
            </w:pPr>
            <w:r>
              <w:rPr>
                <w:rFonts w:eastAsia="仿宋_GB2312"/>
                <w:color w:val="auto"/>
                <w:sz w:val="24"/>
              </w:rPr>
              <w:t>一等</w:t>
            </w:r>
          </w:p>
        </w:tc>
        <w:tc>
          <w:tcPr>
            <w:tcW w:w="845" w:type="pct"/>
            <w:shd w:val="clear" w:color="auto" w:fill="auto"/>
            <w:noWrap w:val="0"/>
            <w:vAlign w:val="center"/>
          </w:tcPr>
          <w:p w14:paraId="7B2AD401">
            <w:pPr>
              <w:spacing w:line="540" w:lineRule="exact"/>
              <w:jc w:val="center"/>
              <w:rPr>
                <w:rFonts w:eastAsia="仿宋_GB2312"/>
                <w:color w:val="auto"/>
                <w:sz w:val="24"/>
              </w:rPr>
            </w:pPr>
            <w:r>
              <w:rPr>
                <w:rFonts w:eastAsia="仿宋_GB2312"/>
                <w:color w:val="auto"/>
                <w:sz w:val="24"/>
              </w:rPr>
              <w:t>5%</w:t>
            </w:r>
          </w:p>
        </w:tc>
        <w:tc>
          <w:tcPr>
            <w:tcW w:w="1002" w:type="pct"/>
            <w:shd w:val="clear" w:color="auto" w:fill="auto"/>
            <w:noWrap w:val="0"/>
            <w:vAlign w:val="center"/>
          </w:tcPr>
          <w:p w14:paraId="4DF7096B">
            <w:pPr>
              <w:spacing w:line="540" w:lineRule="exact"/>
              <w:jc w:val="center"/>
              <w:rPr>
                <w:rFonts w:eastAsia="仿宋_GB2312"/>
                <w:color w:val="auto"/>
                <w:sz w:val="24"/>
              </w:rPr>
            </w:pPr>
            <w:r>
              <w:rPr>
                <w:rFonts w:eastAsia="仿宋_GB2312"/>
                <w:color w:val="auto"/>
                <w:sz w:val="24"/>
              </w:rPr>
              <w:t>1</w:t>
            </w:r>
          </w:p>
        </w:tc>
        <w:tc>
          <w:tcPr>
            <w:tcW w:w="1407" w:type="pct"/>
            <w:vMerge w:val="restart"/>
            <w:shd w:val="clear" w:color="auto" w:fill="auto"/>
            <w:noWrap w:val="0"/>
            <w:vAlign w:val="center"/>
          </w:tcPr>
          <w:p w14:paraId="0A0E8AE1">
            <w:pPr>
              <w:spacing w:line="540" w:lineRule="exact"/>
              <w:jc w:val="left"/>
              <w:rPr>
                <w:rFonts w:eastAsia="仿宋_GB2312"/>
                <w:color w:val="auto"/>
                <w:sz w:val="32"/>
                <w:szCs w:val="32"/>
              </w:rPr>
            </w:pPr>
            <w:r>
              <w:rPr>
                <w:rFonts w:eastAsia="仿宋_GB2312"/>
                <w:color w:val="auto"/>
                <w:sz w:val="24"/>
              </w:rPr>
              <w:t>按学术型和专业型比例分配各等级名额。</w:t>
            </w:r>
          </w:p>
        </w:tc>
      </w:tr>
      <w:tr w14:paraId="1CF1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27" w:type="pct"/>
            <w:vMerge w:val="continue"/>
            <w:shd w:val="clear" w:color="auto" w:fill="auto"/>
            <w:noWrap w:val="0"/>
            <w:vAlign w:val="center"/>
          </w:tcPr>
          <w:p w14:paraId="643542F0">
            <w:pPr>
              <w:spacing w:line="540" w:lineRule="exact"/>
              <w:jc w:val="center"/>
              <w:rPr>
                <w:rFonts w:eastAsia="仿宋_GB2312"/>
                <w:color w:val="auto"/>
                <w:sz w:val="24"/>
              </w:rPr>
            </w:pPr>
          </w:p>
        </w:tc>
        <w:tc>
          <w:tcPr>
            <w:tcW w:w="619" w:type="pct"/>
            <w:shd w:val="clear" w:color="auto" w:fill="auto"/>
            <w:noWrap w:val="0"/>
            <w:vAlign w:val="center"/>
          </w:tcPr>
          <w:p w14:paraId="179745B0">
            <w:pPr>
              <w:spacing w:line="540" w:lineRule="exact"/>
              <w:jc w:val="center"/>
              <w:rPr>
                <w:rFonts w:eastAsia="仿宋_GB2312"/>
                <w:color w:val="auto"/>
                <w:sz w:val="24"/>
              </w:rPr>
            </w:pPr>
            <w:r>
              <w:rPr>
                <w:rFonts w:eastAsia="仿宋_GB2312"/>
                <w:color w:val="auto"/>
                <w:sz w:val="24"/>
              </w:rPr>
              <w:t>二等</w:t>
            </w:r>
          </w:p>
        </w:tc>
        <w:tc>
          <w:tcPr>
            <w:tcW w:w="845" w:type="pct"/>
            <w:shd w:val="clear" w:color="auto" w:fill="auto"/>
            <w:noWrap w:val="0"/>
            <w:vAlign w:val="center"/>
          </w:tcPr>
          <w:p w14:paraId="053A0C7F">
            <w:pPr>
              <w:spacing w:line="540" w:lineRule="exact"/>
              <w:jc w:val="center"/>
              <w:rPr>
                <w:rFonts w:eastAsia="仿宋_GB2312"/>
                <w:color w:val="auto"/>
                <w:sz w:val="24"/>
              </w:rPr>
            </w:pPr>
            <w:r>
              <w:rPr>
                <w:rFonts w:eastAsia="仿宋_GB2312"/>
                <w:color w:val="auto"/>
                <w:sz w:val="24"/>
              </w:rPr>
              <w:t>10%</w:t>
            </w:r>
          </w:p>
        </w:tc>
        <w:tc>
          <w:tcPr>
            <w:tcW w:w="1002" w:type="pct"/>
            <w:shd w:val="clear" w:color="auto" w:fill="auto"/>
            <w:noWrap w:val="0"/>
            <w:vAlign w:val="center"/>
          </w:tcPr>
          <w:p w14:paraId="514464BF">
            <w:pPr>
              <w:spacing w:line="540" w:lineRule="exact"/>
              <w:jc w:val="center"/>
              <w:rPr>
                <w:rFonts w:eastAsia="仿宋_GB2312"/>
                <w:color w:val="auto"/>
                <w:sz w:val="24"/>
              </w:rPr>
            </w:pPr>
            <w:r>
              <w:rPr>
                <w:rFonts w:hint="eastAsia" w:eastAsia="仿宋_GB2312"/>
                <w:color w:val="auto"/>
                <w:sz w:val="24"/>
              </w:rPr>
              <w:t>0.6</w:t>
            </w:r>
          </w:p>
        </w:tc>
        <w:tc>
          <w:tcPr>
            <w:tcW w:w="1407" w:type="pct"/>
            <w:vMerge w:val="continue"/>
            <w:shd w:val="clear" w:color="auto" w:fill="auto"/>
            <w:noWrap w:val="0"/>
            <w:vAlign w:val="center"/>
          </w:tcPr>
          <w:p w14:paraId="553D0F3A">
            <w:pPr>
              <w:spacing w:line="540" w:lineRule="exact"/>
              <w:jc w:val="center"/>
              <w:rPr>
                <w:rFonts w:eastAsia="仿宋_GB2312"/>
                <w:color w:val="auto"/>
                <w:sz w:val="32"/>
                <w:szCs w:val="32"/>
              </w:rPr>
            </w:pPr>
          </w:p>
        </w:tc>
      </w:tr>
      <w:tr w14:paraId="2642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27" w:type="pct"/>
            <w:vMerge w:val="continue"/>
            <w:shd w:val="clear" w:color="auto" w:fill="auto"/>
            <w:noWrap w:val="0"/>
            <w:vAlign w:val="center"/>
          </w:tcPr>
          <w:p w14:paraId="7A7D9BD9">
            <w:pPr>
              <w:spacing w:line="540" w:lineRule="exact"/>
              <w:jc w:val="center"/>
              <w:rPr>
                <w:rFonts w:eastAsia="新宋体"/>
                <w:color w:val="auto"/>
                <w:sz w:val="24"/>
              </w:rPr>
            </w:pPr>
          </w:p>
        </w:tc>
        <w:tc>
          <w:tcPr>
            <w:tcW w:w="619" w:type="pct"/>
            <w:shd w:val="clear" w:color="auto" w:fill="auto"/>
            <w:noWrap w:val="0"/>
            <w:vAlign w:val="center"/>
          </w:tcPr>
          <w:p w14:paraId="75AA7DAF">
            <w:pPr>
              <w:spacing w:line="540" w:lineRule="exact"/>
              <w:jc w:val="center"/>
              <w:rPr>
                <w:rFonts w:eastAsia="仿宋_GB2312"/>
                <w:color w:val="auto"/>
                <w:sz w:val="24"/>
              </w:rPr>
            </w:pPr>
            <w:r>
              <w:rPr>
                <w:rFonts w:eastAsia="仿宋_GB2312"/>
                <w:color w:val="auto"/>
                <w:sz w:val="24"/>
              </w:rPr>
              <w:t>三等</w:t>
            </w:r>
          </w:p>
        </w:tc>
        <w:tc>
          <w:tcPr>
            <w:tcW w:w="845" w:type="pct"/>
            <w:shd w:val="clear" w:color="auto" w:fill="auto"/>
            <w:noWrap w:val="0"/>
            <w:vAlign w:val="center"/>
          </w:tcPr>
          <w:p w14:paraId="147F69E7">
            <w:pPr>
              <w:spacing w:line="540" w:lineRule="exact"/>
              <w:jc w:val="center"/>
              <w:rPr>
                <w:rFonts w:eastAsia="仿宋_GB2312"/>
                <w:color w:val="auto"/>
                <w:sz w:val="24"/>
              </w:rPr>
            </w:pPr>
            <w:r>
              <w:rPr>
                <w:rFonts w:eastAsia="仿宋_GB2312"/>
                <w:color w:val="auto"/>
                <w:sz w:val="24"/>
              </w:rPr>
              <w:t>15%</w:t>
            </w:r>
          </w:p>
        </w:tc>
        <w:tc>
          <w:tcPr>
            <w:tcW w:w="1002" w:type="pct"/>
            <w:shd w:val="clear" w:color="auto" w:fill="auto"/>
            <w:noWrap w:val="0"/>
            <w:vAlign w:val="center"/>
          </w:tcPr>
          <w:p w14:paraId="7941F4B6">
            <w:pPr>
              <w:spacing w:line="540" w:lineRule="exact"/>
              <w:jc w:val="center"/>
              <w:rPr>
                <w:rFonts w:eastAsia="仿宋_GB2312"/>
                <w:color w:val="auto"/>
                <w:sz w:val="24"/>
              </w:rPr>
            </w:pPr>
            <w:r>
              <w:rPr>
                <w:rFonts w:hint="eastAsia" w:eastAsia="仿宋_GB2312"/>
                <w:color w:val="auto"/>
                <w:sz w:val="24"/>
              </w:rPr>
              <w:t>0.3</w:t>
            </w:r>
          </w:p>
        </w:tc>
        <w:tc>
          <w:tcPr>
            <w:tcW w:w="1407" w:type="pct"/>
            <w:vMerge w:val="continue"/>
            <w:shd w:val="clear" w:color="auto" w:fill="auto"/>
            <w:noWrap w:val="0"/>
            <w:vAlign w:val="center"/>
          </w:tcPr>
          <w:p w14:paraId="0B8327C7">
            <w:pPr>
              <w:spacing w:line="540" w:lineRule="exact"/>
              <w:jc w:val="center"/>
              <w:rPr>
                <w:rFonts w:eastAsia="新宋体"/>
                <w:color w:val="auto"/>
                <w:sz w:val="32"/>
                <w:szCs w:val="32"/>
              </w:rPr>
            </w:pPr>
          </w:p>
        </w:tc>
      </w:tr>
    </w:tbl>
    <w:p w14:paraId="7559F662">
      <w:pPr>
        <w:spacing w:line="540" w:lineRule="exact"/>
        <w:ind w:firstLine="800" w:firstLineChars="250"/>
        <w:rPr>
          <w:rFonts w:eastAsia="仿宋_GB2312"/>
          <w:color w:val="auto"/>
          <w:sz w:val="32"/>
          <w:szCs w:val="32"/>
        </w:rPr>
      </w:pPr>
      <w:r>
        <w:rPr>
          <w:rFonts w:eastAsia="仿宋_GB2312"/>
          <w:color w:val="auto"/>
          <w:sz w:val="32"/>
          <w:szCs w:val="32"/>
        </w:rPr>
        <w:t>2.名额分配</w:t>
      </w:r>
    </w:p>
    <w:p w14:paraId="6D5957FF">
      <w:pPr>
        <w:spacing w:line="540" w:lineRule="exact"/>
        <w:ind w:firstLine="640" w:firstLineChars="200"/>
        <w:rPr>
          <w:rFonts w:eastAsia="仿宋_GB2312"/>
          <w:color w:val="auto"/>
          <w:sz w:val="32"/>
          <w:szCs w:val="32"/>
        </w:rPr>
      </w:pPr>
      <w:r>
        <w:rPr>
          <w:rFonts w:eastAsia="仿宋_GB2312"/>
          <w:color w:val="auto"/>
          <w:sz w:val="32"/>
          <w:szCs w:val="32"/>
        </w:rPr>
        <w:t>学校以符合参评条件的在读二三年级研究生数量为基数，按</w:t>
      </w:r>
      <w:r>
        <w:rPr>
          <w:rFonts w:hint="eastAsia" w:eastAsia="仿宋_GB2312"/>
          <w:color w:val="auto"/>
          <w:sz w:val="32"/>
          <w:szCs w:val="32"/>
        </w:rPr>
        <w:t>奖励</w:t>
      </w:r>
      <w:r>
        <w:rPr>
          <w:rFonts w:eastAsia="仿宋_GB2312"/>
          <w:color w:val="auto"/>
          <w:sz w:val="32"/>
          <w:szCs w:val="32"/>
        </w:rPr>
        <w:t>比例进行分配。</w:t>
      </w:r>
    </w:p>
    <w:p w14:paraId="265B33A9">
      <w:pPr>
        <w:spacing w:line="540" w:lineRule="exact"/>
        <w:ind w:firstLine="640" w:firstLineChars="200"/>
        <w:rPr>
          <w:rFonts w:eastAsia="仿宋_GB2312"/>
          <w:color w:val="auto"/>
          <w:sz w:val="32"/>
          <w:szCs w:val="32"/>
        </w:rPr>
      </w:pPr>
      <w:r>
        <w:rPr>
          <w:rFonts w:eastAsia="仿宋_GB2312"/>
          <w:color w:val="auto"/>
          <w:sz w:val="32"/>
          <w:szCs w:val="32"/>
        </w:rPr>
        <w:t>3.评奖条件</w:t>
      </w:r>
    </w:p>
    <w:p w14:paraId="1B48521F">
      <w:pPr>
        <w:spacing w:line="540" w:lineRule="exact"/>
        <w:ind w:firstLine="640" w:firstLineChars="200"/>
        <w:rPr>
          <w:rFonts w:eastAsia="仿宋_GB2312"/>
          <w:color w:val="auto"/>
          <w:sz w:val="32"/>
          <w:szCs w:val="32"/>
        </w:rPr>
      </w:pPr>
      <w:r>
        <w:rPr>
          <w:rFonts w:eastAsia="仿宋_GB2312"/>
          <w:color w:val="auto"/>
          <w:sz w:val="32"/>
          <w:szCs w:val="32"/>
        </w:rPr>
        <w:t>依据各学院制定的学业综合奖学金评审细则规定条件进行评选。</w:t>
      </w:r>
    </w:p>
    <w:p w14:paraId="3DB1366B">
      <w:pPr>
        <w:spacing w:line="540" w:lineRule="exact"/>
        <w:ind w:firstLine="640" w:firstLineChars="200"/>
        <w:rPr>
          <w:rFonts w:eastAsia="仿宋_GB2312"/>
          <w:color w:val="auto"/>
          <w:sz w:val="32"/>
          <w:szCs w:val="32"/>
        </w:rPr>
      </w:pPr>
      <w:r>
        <w:rPr>
          <w:rFonts w:eastAsia="仿宋_GB2312"/>
          <w:color w:val="auto"/>
          <w:sz w:val="32"/>
          <w:szCs w:val="32"/>
        </w:rPr>
        <w:t>4.符合奖励条件的在读一年级博士研究生直接评定博士学业三等综合奖学金。</w:t>
      </w:r>
    </w:p>
    <w:p w14:paraId="34A1EB37">
      <w:pPr>
        <w:spacing w:line="540" w:lineRule="exact"/>
        <w:ind w:firstLine="640" w:firstLineChars="200"/>
        <w:rPr>
          <w:rFonts w:eastAsia="仿宋_GB2312"/>
          <w:color w:val="auto"/>
          <w:sz w:val="32"/>
          <w:szCs w:val="32"/>
        </w:rPr>
      </w:pPr>
      <w:r>
        <w:rPr>
          <w:rFonts w:eastAsia="仿宋_GB2312"/>
          <w:color w:val="auto"/>
          <w:sz w:val="32"/>
          <w:szCs w:val="32"/>
        </w:rPr>
        <w:t>5.被录取的普通推免生、直博生、“本硕一体化”卓越中学教师培养专项计划、学校辅导员专项计划、研究生支教团计划、大学生应征入伍计划、硕博连读生，</w:t>
      </w:r>
      <w:r>
        <w:rPr>
          <w:rFonts w:hint="eastAsia" w:eastAsia="仿宋_GB2312"/>
          <w:color w:val="auto"/>
          <w:sz w:val="32"/>
          <w:szCs w:val="32"/>
        </w:rPr>
        <w:t>一次性</w:t>
      </w:r>
      <w:r>
        <w:rPr>
          <w:rFonts w:eastAsia="仿宋_GB2312"/>
          <w:color w:val="auto"/>
          <w:sz w:val="32"/>
          <w:szCs w:val="32"/>
        </w:rPr>
        <w:t>享受1万元</w:t>
      </w:r>
      <w:r>
        <w:rPr>
          <w:rFonts w:hint="eastAsia" w:eastAsia="仿宋_GB2312"/>
          <w:color w:val="auto"/>
          <w:sz w:val="32"/>
          <w:szCs w:val="32"/>
        </w:rPr>
        <w:t>奖学金</w:t>
      </w:r>
      <w:r>
        <w:rPr>
          <w:rFonts w:eastAsia="仿宋_GB2312"/>
          <w:color w:val="auto"/>
          <w:sz w:val="32"/>
          <w:szCs w:val="32"/>
        </w:rPr>
        <w:t>。</w:t>
      </w:r>
    </w:p>
    <w:p w14:paraId="7A177D0B">
      <w:pPr>
        <w:spacing w:line="540" w:lineRule="exact"/>
        <w:ind w:firstLine="640" w:firstLineChars="200"/>
        <w:rPr>
          <w:rFonts w:eastAsia="仿宋_GB2312"/>
          <w:color w:val="auto"/>
          <w:sz w:val="32"/>
          <w:szCs w:val="32"/>
        </w:rPr>
      </w:pPr>
      <w:r>
        <w:rPr>
          <w:rFonts w:eastAsia="仿宋_GB2312"/>
          <w:color w:val="auto"/>
          <w:sz w:val="32"/>
          <w:szCs w:val="32"/>
        </w:rPr>
        <w:t>（二）单项奖学金</w:t>
      </w:r>
    </w:p>
    <w:p w14:paraId="6741037B">
      <w:pPr>
        <w:spacing w:line="540" w:lineRule="exact"/>
        <w:ind w:firstLine="640" w:firstLineChars="200"/>
        <w:rPr>
          <w:rFonts w:eastAsia="仿宋_GB2312"/>
          <w:color w:val="auto"/>
          <w:sz w:val="32"/>
          <w:szCs w:val="32"/>
        </w:rPr>
      </w:pPr>
      <w:r>
        <w:rPr>
          <w:rFonts w:eastAsia="仿宋_GB2312"/>
          <w:color w:val="auto"/>
          <w:sz w:val="32"/>
          <w:szCs w:val="32"/>
        </w:rPr>
        <w:t>单项奖学金设优秀品德奖、学术科研奖、劳动实践奖、就业创业奖、文体优胜奖、优秀研究生干部奖。所有单项奖学金获奖人数按不超过参评学生总数的8%评选，优秀研究生干部奖不超过各学院参评学生总数2%</w:t>
      </w:r>
      <w:r>
        <w:rPr>
          <w:rFonts w:hint="eastAsia" w:eastAsia="仿宋_GB2312"/>
          <w:color w:val="auto"/>
          <w:sz w:val="32"/>
          <w:szCs w:val="32"/>
        </w:rPr>
        <w:t>，</w:t>
      </w:r>
      <w:r>
        <w:rPr>
          <w:rFonts w:eastAsia="仿宋_GB2312"/>
          <w:color w:val="auto"/>
          <w:sz w:val="32"/>
          <w:szCs w:val="32"/>
        </w:rPr>
        <w:t>每项奖励金额2000元。</w:t>
      </w:r>
    </w:p>
    <w:p w14:paraId="15CD3D98">
      <w:pPr>
        <w:spacing w:line="540" w:lineRule="exact"/>
        <w:ind w:firstLine="640" w:firstLineChars="200"/>
        <w:rPr>
          <w:rFonts w:eastAsia="仿宋_GB2312"/>
          <w:color w:val="auto"/>
          <w:sz w:val="32"/>
          <w:szCs w:val="32"/>
        </w:rPr>
      </w:pPr>
      <w:r>
        <w:rPr>
          <w:rFonts w:eastAsia="仿宋_GB2312"/>
          <w:color w:val="auto"/>
          <w:sz w:val="32"/>
          <w:szCs w:val="32"/>
        </w:rPr>
        <w:t>1.优秀品德奖</w:t>
      </w:r>
    </w:p>
    <w:p w14:paraId="72DE4B45">
      <w:pPr>
        <w:spacing w:line="540" w:lineRule="exact"/>
        <w:ind w:firstLine="640" w:firstLineChars="200"/>
        <w:rPr>
          <w:rFonts w:eastAsia="仿宋_GB2312"/>
          <w:color w:val="auto"/>
          <w:sz w:val="32"/>
          <w:szCs w:val="32"/>
        </w:rPr>
      </w:pPr>
      <w:r>
        <w:rPr>
          <w:rFonts w:eastAsia="仿宋_GB2312"/>
          <w:color w:val="auto"/>
          <w:sz w:val="32"/>
          <w:szCs w:val="32"/>
        </w:rPr>
        <w:t>参评条件：积极践行社会主义核心价值观，模范遵守学校规章制度，在诚实守信、助人为乐、见义勇为、甘于奉献、孝老爱亲、自强励志等方面事迹突出，受到省级（含）以上媒体宣传报道，产生较大社会影响，在学生群体中起到模范引领作用。</w:t>
      </w:r>
    </w:p>
    <w:p w14:paraId="074A1D7C">
      <w:pPr>
        <w:spacing w:line="540" w:lineRule="exact"/>
        <w:ind w:firstLine="640" w:firstLineChars="200"/>
        <w:rPr>
          <w:rFonts w:eastAsia="仿宋_GB2312"/>
          <w:color w:val="auto"/>
          <w:sz w:val="32"/>
          <w:szCs w:val="32"/>
        </w:rPr>
      </w:pPr>
      <w:r>
        <w:rPr>
          <w:rFonts w:eastAsia="仿宋_GB2312"/>
          <w:color w:val="auto"/>
          <w:sz w:val="32"/>
          <w:szCs w:val="32"/>
        </w:rPr>
        <w:t>2.学术科研奖</w:t>
      </w:r>
    </w:p>
    <w:p w14:paraId="15DABE74">
      <w:pPr>
        <w:spacing w:line="540" w:lineRule="exact"/>
        <w:ind w:firstLine="640" w:firstLineChars="200"/>
        <w:rPr>
          <w:rFonts w:eastAsia="仿宋_GB2312"/>
          <w:color w:val="auto"/>
          <w:sz w:val="32"/>
          <w:szCs w:val="32"/>
        </w:rPr>
      </w:pPr>
      <w:r>
        <w:rPr>
          <w:rFonts w:eastAsia="仿宋_GB2312"/>
          <w:color w:val="auto"/>
          <w:sz w:val="32"/>
          <w:szCs w:val="32"/>
        </w:rPr>
        <w:t>参评条件：学习成绩优异，硕士生上一年度必修课成绩在本专业排名前30%；积极参加各类学术科研活动，表现突出；以奖励高水平成果为导向，在学术期刊论文、著作、科研项目、研究成果奖励等方面成果突出，取得学校规定的自然科学类A类、人文社科类B类及以上科研项目成果。</w:t>
      </w:r>
    </w:p>
    <w:p w14:paraId="277FB79D">
      <w:pPr>
        <w:spacing w:line="540" w:lineRule="exact"/>
        <w:ind w:firstLine="640" w:firstLineChars="200"/>
        <w:rPr>
          <w:rFonts w:eastAsia="仿宋_GB2312"/>
          <w:color w:val="auto"/>
          <w:sz w:val="32"/>
          <w:szCs w:val="32"/>
        </w:rPr>
      </w:pPr>
      <w:r>
        <w:rPr>
          <w:rFonts w:eastAsia="仿宋_GB2312"/>
          <w:color w:val="auto"/>
          <w:sz w:val="32"/>
          <w:szCs w:val="32"/>
        </w:rPr>
        <w:t>3.劳动实践奖</w:t>
      </w:r>
    </w:p>
    <w:p w14:paraId="7DC8A48F">
      <w:pPr>
        <w:spacing w:line="540" w:lineRule="exact"/>
        <w:ind w:firstLine="640" w:firstLineChars="200"/>
        <w:rPr>
          <w:rFonts w:eastAsia="仿宋_GB2312"/>
          <w:color w:val="auto"/>
          <w:sz w:val="32"/>
          <w:szCs w:val="32"/>
        </w:rPr>
      </w:pPr>
      <w:r>
        <w:rPr>
          <w:rFonts w:eastAsia="仿宋_GB2312"/>
          <w:color w:val="auto"/>
          <w:sz w:val="32"/>
          <w:szCs w:val="32"/>
        </w:rPr>
        <w:t>参评条件：尊重劳动、热爱劳动、崇尚劳动，自觉弘扬劳动精神，积极参加学校“三助一辅”岗位实践锻炼及校院组织的其他各类社会实践（不包括专业实践）、志愿服务等活动，表现突出，获得校级(含)以上表彰奖励；或结合学科优势积极应用新技术、新工艺、新方法服务社会经济发展，产生积极影响，取得学校规定的教学项目成果、应用类成果、艺术传媒类奖励B类及以上的实践类成果（包括积极参加并完成上一年度的专业实践教学环节的实习见习实训及校院组织的各类技能竞赛活动，在专业竞赛以及发明专利、技术转让、咨询报告、政策建议、艺术创作、案例设计等实践应用方面）。</w:t>
      </w:r>
    </w:p>
    <w:p w14:paraId="322048EF">
      <w:pPr>
        <w:spacing w:line="540" w:lineRule="exact"/>
        <w:ind w:firstLine="640" w:firstLineChars="200"/>
        <w:rPr>
          <w:rFonts w:eastAsia="仿宋_GB2312"/>
          <w:color w:val="auto"/>
          <w:sz w:val="32"/>
          <w:szCs w:val="32"/>
        </w:rPr>
      </w:pPr>
      <w:r>
        <w:rPr>
          <w:rFonts w:eastAsia="仿宋_GB2312"/>
          <w:color w:val="auto"/>
          <w:sz w:val="32"/>
          <w:szCs w:val="32"/>
        </w:rPr>
        <w:t>4.就业创业奖</w:t>
      </w:r>
    </w:p>
    <w:p w14:paraId="35CB0D54">
      <w:pPr>
        <w:spacing w:line="540" w:lineRule="exact"/>
        <w:ind w:firstLine="640" w:firstLineChars="200"/>
        <w:rPr>
          <w:rFonts w:eastAsia="仿宋_GB2312"/>
          <w:color w:val="auto"/>
          <w:sz w:val="32"/>
          <w:szCs w:val="32"/>
        </w:rPr>
      </w:pPr>
      <w:r>
        <w:rPr>
          <w:rFonts w:eastAsia="仿宋_GB2312"/>
          <w:color w:val="auto"/>
          <w:sz w:val="32"/>
          <w:szCs w:val="32"/>
        </w:rPr>
        <w:t>参评条件：锐意创新，富有开拓精神，勇于自主创业，积极以创业带动就业，本学年个人或团体在由教育部、教育厅举办或学校认可的全省性（含）以上就业创业类竞赛中取得三等奖（含）以上</w:t>
      </w:r>
      <w:r>
        <w:rPr>
          <w:rFonts w:hint="eastAsia" w:eastAsia="仿宋_GB2312"/>
          <w:color w:val="auto"/>
          <w:sz w:val="32"/>
          <w:szCs w:val="32"/>
        </w:rPr>
        <w:t>奖励</w:t>
      </w:r>
      <w:r>
        <w:rPr>
          <w:rFonts w:eastAsia="仿宋_GB2312"/>
          <w:color w:val="auto"/>
          <w:sz w:val="32"/>
          <w:szCs w:val="32"/>
        </w:rPr>
        <w:t>，先进事迹具有广泛校园影响和校园带动作用；或以学生本人为法人代表成立公司，有一定社会融资，经工商注册且经营良好，产生一定的经济效益或社会效益。</w:t>
      </w:r>
    </w:p>
    <w:p w14:paraId="67D7F41A">
      <w:pPr>
        <w:spacing w:line="540" w:lineRule="exact"/>
        <w:ind w:firstLine="640" w:firstLineChars="200"/>
        <w:rPr>
          <w:rFonts w:eastAsia="仿宋_GB2312"/>
          <w:color w:val="auto"/>
          <w:sz w:val="32"/>
          <w:szCs w:val="32"/>
        </w:rPr>
      </w:pPr>
      <w:r>
        <w:rPr>
          <w:rFonts w:eastAsia="仿宋_GB2312"/>
          <w:color w:val="auto"/>
          <w:sz w:val="32"/>
          <w:szCs w:val="32"/>
        </w:rPr>
        <w:t>5.文体优胜奖</w:t>
      </w:r>
    </w:p>
    <w:p w14:paraId="0F0D20A7">
      <w:pPr>
        <w:spacing w:line="540" w:lineRule="exact"/>
        <w:ind w:firstLine="640" w:firstLineChars="200"/>
        <w:rPr>
          <w:rFonts w:eastAsia="仿宋_GB2312"/>
          <w:color w:val="auto"/>
          <w:sz w:val="32"/>
          <w:szCs w:val="32"/>
        </w:rPr>
      </w:pPr>
      <w:r>
        <w:rPr>
          <w:rFonts w:eastAsia="仿宋_GB2312"/>
          <w:color w:val="auto"/>
          <w:sz w:val="32"/>
          <w:szCs w:val="32"/>
        </w:rPr>
        <w:t>参评条件：本学年个人或团体（全体成员）在学校或学院组织的文化、体育、艺术等非专业类竞赛中获全国性竞赛三等奖（含）以上或竞赛前六名，或获全省性竞赛三等奖（含）以上或竞赛前三名以上奖励。</w:t>
      </w:r>
    </w:p>
    <w:p w14:paraId="4109467E">
      <w:pPr>
        <w:spacing w:line="540" w:lineRule="exact"/>
        <w:ind w:firstLine="640" w:firstLineChars="200"/>
        <w:rPr>
          <w:rFonts w:eastAsia="仿宋_GB2312"/>
          <w:color w:val="auto"/>
          <w:sz w:val="32"/>
          <w:szCs w:val="32"/>
        </w:rPr>
      </w:pPr>
      <w:r>
        <w:rPr>
          <w:rFonts w:eastAsia="仿宋_GB2312"/>
          <w:color w:val="auto"/>
          <w:sz w:val="32"/>
          <w:szCs w:val="32"/>
        </w:rPr>
        <w:t>6.优秀研究生干部奖</w:t>
      </w:r>
    </w:p>
    <w:p w14:paraId="3CF0BBCF">
      <w:pPr>
        <w:spacing w:line="540" w:lineRule="exact"/>
        <w:ind w:firstLine="640" w:firstLineChars="200"/>
        <w:rPr>
          <w:rFonts w:eastAsia="仿宋_GB2312"/>
          <w:color w:val="auto"/>
          <w:sz w:val="32"/>
          <w:szCs w:val="32"/>
        </w:rPr>
      </w:pPr>
      <w:r>
        <w:rPr>
          <w:rFonts w:eastAsia="仿宋_GB2312"/>
          <w:color w:val="auto"/>
          <w:sz w:val="32"/>
          <w:szCs w:val="32"/>
        </w:rPr>
        <w:t>参评条件：积极践行社会主义核心价值观，综合素质优秀，热心为同学服务，在研究生服务岗位上工作满一年（含）以上，在研究生思想政治教育活动或在协助学生公寓管理、维护学生权益等方面发挥模范带头作用，在学生中能起到良好的示范和引领作用。</w:t>
      </w:r>
    </w:p>
    <w:p w14:paraId="73E39403">
      <w:pPr>
        <w:spacing w:line="540" w:lineRule="exact"/>
        <w:ind w:firstLine="640" w:firstLineChars="200"/>
        <w:rPr>
          <w:rFonts w:eastAsia="仿宋_GB2312"/>
          <w:color w:val="auto"/>
          <w:sz w:val="32"/>
          <w:szCs w:val="32"/>
        </w:rPr>
      </w:pPr>
      <w:r>
        <w:rPr>
          <w:rFonts w:eastAsia="仿宋_GB2312"/>
          <w:color w:val="auto"/>
          <w:sz w:val="32"/>
          <w:szCs w:val="32"/>
        </w:rPr>
        <w:t>（三）学校可根据学生培养需求及学校事业发展实际，对研究生学业奖学金的标准及比例进行动态调整。</w:t>
      </w:r>
    </w:p>
    <w:p w14:paraId="2F12CBF1">
      <w:pPr>
        <w:spacing w:line="540" w:lineRule="exact"/>
        <w:ind w:firstLine="643" w:firstLineChars="200"/>
        <w:rPr>
          <w:rFonts w:eastAsia="仿宋_GB2312"/>
          <w:color w:val="auto"/>
          <w:sz w:val="32"/>
          <w:szCs w:val="32"/>
        </w:rPr>
      </w:pPr>
      <w:r>
        <w:rPr>
          <w:rFonts w:eastAsia="仿宋_GB2312"/>
          <w:b/>
          <w:color w:val="auto"/>
          <w:sz w:val="32"/>
          <w:szCs w:val="32"/>
        </w:rPr>
        <w:t xml:space="preserve">第十一条  </w:t>
      </w:r>
      <w:r>
        <w:rPr>
          <w:rFonts w:eastAsia="仿宋_GB2312"/>
          <w:color w:val="auto"/>
          <w:sz w:val="32"/>
          <w:szCs w:val="32"/>
        </w:rPr>
        <w:t>专项奖学金</w:t>
      </w:r>
    </w:p>
    <w:p w14:paraId="3FC9FB22">
      <w:pPr>
        <w:spacing w:line="540" w:lineRule="exact"/>
        <w:ind w:firstLine="640" w:firstLineChars="200"/>
        <w:rPr>
          <w:rFonts w:eastAsia="仿宋_GB2312"/>
          <w:color w:val="auto"/>
          <w:sz w:val="32"/>
          <w:szCs w:val="32"/>
        </w:rPr>
      </w:pPr>
      <w:r>
        <w:rPr>
          <w:rFonts w:eastAsia="仿宋_GB2312"/>
          <w:color w:val="auto"/>
          <w:sz w:val="32"/>
          <w:szCs w:val="32"/>
        </w:rPr>
        <w:t>其他情况或有突出表现者，学校可依据实际需要设置专项奖学金，</w:t>
      </w:r>
      <w:r>
        <w:rPr>
          <w:rFonts w:hint="eastAsia" w:eastAsia="仿宋_GB2312"/>
          <w:color w:val="auto"/>
          <w:sz w:val="32"/>
          <w:szCs w:val="32"/>
        </w:rPr>
        <w:t>并</w:t>
      </w:r>
      <w:r>
        <w:rPr>
          <w:rFonts w:eastAsia="仿宋_GB2312"/>
          <w:color w:val="auto"/>
          <w:sz w:val="32"/>
          <w:szCs w:val="32"/>
        </w:rPr>
        <w:t>根据相关协议和要求评选发放。</w:t>
      </w:r>
    </w:p>
    <w:p w14:paraId="3BE50BCD">
      <w:pPr>
        <w:widowControl/>
        <w:spacing w:before="156" w:beforeLines="50" w:after="156" w:afterLines="50" w:line="540" w:lineRule="exact"/>
        <w:jc w:val="center"/>
        <w:rPr>
          <w:rFonts w:eastAsia="黑体"/>
          <w:b/>
          <w:color w:val="auto"/>
          <w:sz w:val="32"/>
          <w:szCs w:val="32"/>
        </w:rPr>
      </w:pPr>
      <w:r>
        <w:rPr>
          <w:rFonts w:eastAsia="黑体"/>
          <w:b/>
          <w:color w:val="auto"/>
          <w:sz w:val="32"/>
          <w:szCs w:val="32"/>
        </w:rPr>
        <w:t>第四章</w:t>
      </w:r>
      <w:r>
        <w:rPr>
          <w:rFonts w:hint="eastAsia" w:eastAsia="黑体"/>
          <w:b/>
          <w:color w:val="auto"/>
          <w:sz w:val="32"/>
          <w:szCs w:val="32"/>
        </w:rPr>
        <w:t xml:space="preserve"> </w:t>
      </w:r>
      <w:r>
        <w:rPr>
          <w:rFonts w:eastAsia="黑体"/>
          <w:b/>
          <w:color w:val="auto"/>
          <w:sz w:val="32"/>
          <w:szCs w:val="32"/>
        </w:rPr>
        <w:t xml:space="preserve"> 评审程序</w:t>
      </w:r>
    </w:p>
    <w:p w14:paraId="518370A6">
      <w:pPr>
        <w:spacing w:line="540" w:lineRule="exact"/>
        <w:ind w:firstLine="643" w:firstLineChars="200"/>
        <w:rPr>
          <w:rFonts w:eastAsia="仿宋_GB2312"/>
          <w:color w:val="auto"/>
          <w:sz w:val="32"/>
          <w:szCs w:val="32"/>
        </w:rPr>
      </w:pPr>
      <w:r>
        <w:rPr>
          <w:rFonts w:eastAsia="仿宋_GB2312"/>
          <w:b/>
          <w:color w:val="auto"/>
          <w:sz w:val="32"/>
          <w:szCs w:val="32"/>
        </w:rPr>
        <w:t xml:space="preserve">第十二条  </w:t>
      </w:r>
      <w:r>
        <w:rPr>
          <w:rFonts w:eastAsia="仿宋_GB2312"/>
          <w:color w:val="auto"/>
          <w:sz w:val="32"/>
          <w:szCs w:val="32"/>
        </w:rPr>
        <w:t>学校成立研究生奖学金评审领导小组，</w:t>
      </w:r>
      <w:r>
        <w:rPr>
          <w:rFonts w:hint="eastAsia" w:eastAsia="仿宋_GB2312"/>
          <w:color w:val="auto"/>
          <w:sz w:val="32"/>
          <w:szCs w:val="32"/>
        </w:rPr>
        <w:t>分管</w:t>
      </w:r>
      <w:r>
        <w:rPr>
          <w:rFonts w:eastAsia="仿宋_GB2312"/>
          <w:color w:val="auto"/>
          <w:sz w:val="32"/>
          <w:szCs w:val="32"/>
        </w:rPr>
        <w:t>校领导任组长，</w:t>
      </w:r>
      <w:r>
        <w:rPr>
          <w:rFonts w:hint="eastAsia" w:eastAsia="仿宋_GB2312"/>
          <w:color w:val="auto"/>
          <w:sz w:val="32"/>
          <w:szCs w:val="32"/>
        </w:rPr>
        <w:t>成员由</w:t>
      </w:r>
      <w:r>
        <w:rPr>
          <w:rFonts w:eastAsia="仿宋_GB2312"/>
          <w:color w:val="auto"/>
          <w:sz w:val="32"/>
          <w:szCs w:val="32"/>
        </w:rPr>
        <w:t>相关职能部门负责人、研究生导师代表等组成。</w:t>
      </w:r>
    </w:p>
    <w:p w14:paraId="71301D83">
      <w:pPr>
        <w:widowControl/>
        <w:spacing w:line="540" w:lineRule="exact"/>
        <w:ind w:firstLine="640" w:firstLineChars="200"/>
        <w:rPr>
          <w:rFonts w:eastAsia="仿宋_GB2312"/>
          <w:color w:val="auto"/>
          <w:sz w:val="32"/>
          <w:szCs w:val="32"/>
        </w:rPr>
      </w:pPr>
      <w:r>
        <w:rPr>
          <w:rFonts w:eastAsia="仿宋_GB2312"/>
          <w:color w:val="auto"/>
          <w:sz w:val="32"/>
          <w:szCs w:val="32"/>
        </w:rPr>
        <w:t>评审领导小组负责按照本办法及实施细则</w:t>
      </w:r>
      <w:r>
        <w:rPr>
          <w:rFonts w:hint="eastAsia" w:eastAsia="仿宋_GB2312"/>
          <w:color w:val="auto"/>
          <w:sz w:val="32"/>
          <w:szCs w:val="32"/>
        </w:rPr>
        <w:t>执行</w:t>
      </w:r>
      <w:r>
        <w:rPr>
          <w:rFonts w:eastAsia="仿宋_GB2312"/>
          <w:color w:val="auto"/>
          <w:sz w:val="32"/>
          <w:szCs w:val="32"/>
        </w:rPr>
        <w:t>有关规定：</w:t>
      </w:r>
    </w:p>
    <w:p w14:paraId="6A7EDC7B">
      <w:pPr>
        <w:widowControl/>
        <w:spacing w:line="540" w:lineRule="exact"/>
        <w:ind w:firstLine="640" w:firstLineChars="200"/>
        <w:rPr>
          <w:rFonts w:eastAsia="仿宋_GB2312"/>
          <w:color w:val="auto"/>
          <w:sz w:val="32"/>
          <w:szCs w:val="32"/>
        </w:rPr>
      </w:pPr>
      <w:r>
        <w:rPr>
          <w:rFonts w:eastAsia="仿宋_GB2312"/>
          <w:color w:val="auto"/>
          <w:sz w:val="32"/>
          <w:szCs w:val="32"/>
        </w:rPr>
        <w:t>1.指导各学院编制本单位研究生奖学金评审实施细则；</w:t>
      </w:r>
    </w:p>
    <w:p w14:paraId="345F8855">
      <w:pPr>
        <w:widowControl/>
        <w:spacing w:line="540" w:lineRule="exact"/>
        <w:ind w:firstLine="640" w:firstLineChars="200"/>
        <w:rPr>
          <w:rFonts w:eastAsia="仿宋_GB2312"/>
          <w:color w:val="auto"/>
          <w:sz w:val="32"/>
          <w:szCs w:val="32"/>
        </w:rPr>
      </w:pPr>
      <w:r>
        <w:rPr>
          <w:rFonts w:eastAsia="仿宋_GB2312"/>
          <w:color w:val="auto"/>
          <w:sz w:val="32"/>
          <w:szCs w:val="32"/>
        </w:rPr>
        <w:t>2.</w:t>
      </w:r>
      <w:r>
        <w:rPr>
          <w:rFonts w:hint="eastAsia" w:eastAsia="仿宋_GB2312"/>
          <w:color w:val="auto"/>
          <w:sz w:val="32"/>
          <w:szCs w:val="32"/>
        </w:rPr>
        <w:t>制定</w:t>
      </w:r>
      <w:r>
        <w:rPr>
          <w:rFonts w:eastAsia="仿宋_GB2312"/>
          <w:color w:val="auto"/>
          <w:sz w:val="32"/>
          <w:szCs w:val="32"/>
        </w:rPr>
        <w:t>名额分配方案；</w:t>
      </w:r>
    </w:p>
    <w:p w14:paraId="3B1481BB">
      <w:pPr>
        <w:widowControl/>
        <w:spacing w:line="540" w:lineRule="exact"/>
        <w:ind w:firstLine="640" w:firstLineChars="200"/>
        <w:rPr>
          <w:rFonts w:eastAsia="仿宋_GB2312"/>
          <w:color w:val="auto"/>
          <w:sz w:val="32"/>
          <w:szCs w:val="32"/>
        </w:rPr>
      </w:pPr>
      <w:r>
        <w:rPr>
          <w:rFonts w:eastAsia="仿宋_GB2312"/>
          <w:color w:val="auto"/>
          <w:sz w:val="32"/>
          <w:szCs w:val="32"/>
        </w:rPr>
        <w:t>3.统筹领导、协调、监督学校评审工作；</w:t>
      </w:r>
    </w:p>
    <w:p w14:paraId="57ADAE6A">
      <w:pPr>
        <w:widowControl/>
        <w:spacing w:line="540" w:lineRule="exact"/>
        <w:ind w:firstLine="640" w:firstLineChars="200"/>
        <w:rPr>
          <w:rFonts w:eastAsia="仿宋_GB2312"/>
          <w:color w:val="auto"/>
          <w:sz w:val="32"/>
          <w:szCs w:val="32"/>
        </w:rPr>
      </w:pPr>
      <w:r>
        <w:rPr>
          <w:rFonts w:eastAsia="仿宋_GB2312"/>
          <w:color w:val="auto"/>
          <w:sz w:val="32"/>
          <w:szCs w:val="32"/>
        </w:rPr>
        <w:t>4.裁决学生对评审结果的申诉；</w:t>
      </w:r>
    </w:p>
    <w:p w14:paraId="16AAA93F">
      <w:pPr>
        <w:widowControl/>
        <w:spacing w:line="540" w:lineRule="exact"/>
        <w:ind w:firstLine="640" w:firstLineChars="200"/>
        <w:rPr>
          <w:rFonts w:eastAsia="仿宋_GB2312"/>
          <w:color w:val="auto"/>
          <w:sz w:val="32"/>
          <w:szCs w:val="32"/>
        </w:rPr>
      </w:pPr>
      <w:r>
        <w:rPr>
          <w:rFonts w:eastAsia="仿宋_GB2312"/>
          <w:color w:val="auto"/>
          <w:sz w:val="32"/>
          <w:szCs w:val="32"/>
        </w:rPr>
        <w:t>5.指定有关部门统一保存学校研究生奖学金评审资料。</w:t>
      </w:r>
    </w:p>
    <w:p w14:paraId="684EB425">
      <w:pPr>
        <w:widowControl/>
        <w:spacing w:line="540" w:lineRule="exact"/>
        <w:ind w:firstLine="643" w:firstLineChars="200"/>
        <w:rPr>
          <w:rFonts w:eastAsia="仿宋_GB2312"/>
          <w:color w:val="auto"/>
          <w:sz w:val="32"/>
          <w:szCs w:val="32"/>
        </w:rPr>
      </w:pPr>
      <w:r>
        <w:rPr>
          <w:rFonts w:eastAsia="仿宋_GB2312"/>
          <w:b/>
          <w:color w:val="auto"/>
          <w:sz w:val="32"/>
          <w:szCs w:val="32"/>
        </w:rPr>
        <w:t>第十三条</w:t>
      </w:r>
      <w:r>
        <w:rPr>
          <w:rFonts w:eastAsia="仿宋_GB2312"/>
          <w:color w:val="auto"/>
          <w:sz w:val="32"/>
          <w:szCs w:val="32"/>
        </w:rPr>
        <w:t xml:space="preserve">  各学院成立研究生奖学金评审委员会，由学院党政主要负责人任主任委员，主管学生工作副书记、负责研究生工作副院长、辅导员、研究生秘书、研究生导师</w:t>
      </w:r>
      <w:r>
        <w:rPr>
          <w:rFonts w:hint="eastAsia" w:eastAsia="仿宋_GB2312"/>
          <w:color w:val="auto"/>
          <w:sz w:val="32"/>
          <w:szCs w:val="32"/>
        </w:rPr>
        <w:t>代表</w:t>
      </w:r>
      <w:r>
        <w:rPr>
          <w:rFonts w:eastAsia="仿宋_GB2312"/>
          <w:color w:val="auto"/>
          <w:sz w:val="32"/>
          <w:szCs w:val="32"/>
        </w:rPr>
        <w:t>、研究生代表任委员，负责制定本学院研究生奖学金评审实施细则及申请组织、学院评审、学生申诉受理等工作。评审委员会名单应报校评审领导小组办公室备案。</w:t>
      </w:r>
    </w:p>
    <w:p w14:paraId="66CB99FE">
      <w:pPr>
        <w:spacing w:line="540" w:lineRule="exact"/>
        <w:ind w:firstLine="643" w:firstLineChars="200"/>
        <w:rPr>
          <w:rFonts w:eastAsia="仿宋_GB2312"/>
          <w:b/>
          <w:color w:val="auto"/>
          <w:sz w:val="32"/>
          <w:szCs w:val="32"/>
        </w:rPr>
      </w:pPr>
      <w:r>
        <w:rPr>
          <w:rFonts w:eastAsia="仿宋_GB2312"/>
          <w:b/>
          <w:color w:val="auto"/>
          <w:sz w:val="32"/>
          <w:szCs w:val="32"/>
        </w:rPr>
        <w:t xml:space="preserve">第十四条 </w:t>
      </w:r>
      <w:r>
        <w:rPr>
          <w:rFonts w:hint="eastAsia" w:eastAsia="仿宋_GB2312"/>
          <w:b/>
          <w:color w:val="auto"/>
          <w:sz w:val="32"/>
          <w:szCs w:val="32"/>
        </w:rPr>
        <w:t xml:space="preserve"> </w:t>
      </w:r>
      <w:r>
        <w:rPr>
          <w:rFonts w:eastAsia="仿宋_GB2312"/>
          <w:color w:val="auto"/>
          <w:sz w:val="32"/>
          <w:szCs w:val="32"/>
        </w:rPr>
        <w:t>研究生奖学金评审工作坚持公开、公平、公正、择优原则，宁缺毋滥，严格执行国家有关教育法规，杜绝弄虚作假。</w:t>
      </w:r>
    </w:p>
    <w:p w14:paraId="0874CE3F">
      <w:pPr>
        <w:widowControl/>
        <w:spacing w:line="540" w:lineRule="exact"/>
        <w:ind w:firstLine="643" w:firstLineChars="200"/>
        <w:rPr>
          <w:rFonts w:eastAsia="仿宋_GB2312"/>
          <w:color w:val="auto"/>
          <w:sz w:val="32"/>
          <w:szCs w:val="32"/>
        </w:rPr>
      </w:pPr>
      <w:r>
        <w:rPr>
          <w:rFonts w:eastAsia="仿宋_GB2312"/>
          <w:b/>
          <w:color w:val="auto"/>
          <w:sz w:val="32"/>
          <w:szCs w:val="32"/>
        </w:rPr>
        <w:t>第十五条</w:t>
      </w:r>
      <w:r>
        <w:rPr>
          <w:rFonts w:eastAsia="仿宋_GB2312"/>
          <w:color w:val="auto"/>
          <w:sz w:val="32"/>
          <w:szCs w:val="32"/>
        </w:rPr>
        <w:t xml:space="preserve">  党委学生工作部负责研究生奖学金评审日常管理工作。</w:t>
      </w:r>
    </w:p>
    <w:p w14:paraId="29F55606">
      <w:pPr>
        <w:widowControl/>
        <w:spacing w:line="540" w:lineRule="exact"/>
        <w:ind w:firstLine="643" w:firstLineChars="200"/>
        <w:rPr>
          <w:rFonts w:eastAsia="仿宋_GB2312"/>
          <w:color w:val="auto"/>
          <w:sz w:val="32"/>
          <w:szCs w:val="32"/>
        </w:rPr>
      </w:pPr>
      <w:r>
        <w:rPr>
          <w:rFonts w:eastAsia="仿宋_GB2312"/>
          <w:b/>
          <w:color w:val="auto"/>
          <w:sz w:val="32"/>
          <w:szCs w:val="32"/>
        </w:rPr>
        <w:t>第十六条</w:t>
      </w:r>
      <w:r>
        <w:rPr>
          <w:rFonts w:eastAsia="仿宋_GB2312"/>
          <w:color w:val="auto"/>
          <w:sz w:val="32"/>
          <w:szCs w:val="32"/>
        </w:rPr>
        <w:t xml:space="preserve">  研究生奖学金按照“学生申请、导师推荐、学院评选、学校审定”的程序进行。</w:t>
      </w:r>
    </w:p>
    <w:p w14:paraId="2D60F5E4">
      <w:pPr>
        <w:spacing w:line="540" w:lineRule="exact"/>
        <w:ind w:firstLine="643" w:firstLineChars="200"/>
        <w:rPr>
          <w:rFonts w:eastAsia="仿宋_GB2312"/>
          <w:color w:val="auto"/>
          <w:sz w:val="32"/>
          <w:szCs w:val="32"/>
        </w:rPr>
      </w:pPr>
      <w:r>
        <w:rPr>
          <w:rFonts w:eastAsia="仿宋_GB2312"/>
          <w:b/>
          <w:color w:val="auto"/>
          <w:sz w:val="32"/>
          <w:szCs w:val="32"/>
        </w:rPr>
        <w:t xml:space="preserve">第十七条  </w:t>
      </w:r>
      <w:r>
        <w:rPr>
          <w:rFonts w:eastAsia="仿宋_GB2312"/>
          <w:color w:val="auto"/>
          <w:sz w:val="32"/>
          <w:szCs w:val="32"/>
        </w:rPr>
        <w:t>为扩大研究生奖学金的影响力和激励引导作用，各学院要统筹研究生国家奖学金、学业奖学金和其他研究生奖学金的名额分配、评审工作。评审工作可增加有助于人才培养模式创新的竞赛、公开答辩等环节，实行差额评选。</w:t>
      </w:r>
    </w:p>
    <w:p w14:paraId="4C1BE952">
      <w:pPr>
        <w:spacing w:line="540" w:lineRule="exact"/>
        <w:ind w:firstLine="643" w:firstLineChars="200"/>
        <w:rPr>
          <w:rFonts w:eastAsia="仿宋_GB2312"/>
          <w:color w:val="auto"/>
          <w:sz w:val="32"/>
          <w:szCs w:val="32"/>
        </w:rPr>
      </w:pPr>
      <w:r>
        <w:rPr>
          <w:rFonts w:eastAsia="仿宋_GB2312"/>
          <w:b/>
          <w:color w:val="auto"/>
          <w:sz w:val="32"/>
          <w:szCs w:val="32"/>
        </w:rPr>
        <w:t xml:space="preserve">第十八条 </w:t>
      </w:r>
      <w:r>
        <w:rPr>
          <w:rFonts w:eastAsia="仿宋_GB2312"/>
          <w:color w:val="auto"/>
          <w:sz w:val="32"/>
          <w:szCs w:val="32"/>
        </w:rPr>
        <w:t xml:space="preserve"> 学院研究生奖学金评审委员会确定获奖学生名单后，应在学院内进行5个工作日的公示。公示无异议后，提交学校研究生奖学金评审领导小组审定，审定结果在全校范围内进行5个工作日的公示。</w:t>
      </w:r>
    </w:p>
    <w:p w14:paraId="0279FC93">
      <w:pPr>
        <w:spacing w:line="540" w:lineRule="exact"/>
        <w:ind w:firstLine="643" w:firstLineChars="200"/>
        <w:rPr>
          <w:rFonts w:eastAsia="仿宋_GB2312"/>
          <w:color w:val="auto"/>
          <w:sz w:val="32"/>
          <w:szCs w:val="32"/>
        </w:rPr>
      </w:pPr>
      <w:r>
        <w:rPr>
          <w:rFonts w:eastAsia="仿宋_GB2312"/>
          <w:b/>
          <w:color w:val="auto"/>
          <w:sz w:val="32"/>
          <w:szCs w:val="32"/>
        </w:rPr>
        <w:t>第十九条</w:t>
      </w:r>
      <w:r>
        <w:rPr>
          <w:rFonts w:eastAsia="仿宋_GB2312"/>
          <w:color w:val="auto"/>
          <w:sz w:val="32"/>
          <w:szCs w:val="32"/>
        </w:rPr>
        <w:t xml:space="preserve">  对研究生奖学金评审结果有异议的，可在学院公示阶段向所在学院评审委员会提出申诉，评审委员会应及时研究并予以答复。如申诉人对学院评审委员会作出的答复仍存在异议，可在学校公示阶段向学校研究生奖学金评审领导小组提请裁决，处理结果以适当形式送达学院和研究生本人。</w:t>
      </w:r>
    </w:p>
    <w:p w14:paraId="7691F418">
      <w:pPr>
        <w:spacing w:line="540" w:lineRule="exact"/>
        <w:ind w:firstLine="643" w:firstLineChars="200"/>
        <w:rPr>
          <w:rFonts w:eastAsia="仿宋_GB2312"/>
          <w:color w:val="auto"/>
          <w:sz w:val="32"/>
          <w:szCs w:val="32"/>
        </w:rPr>
      </w:pPr>
      <w:r>
        <w:rPr>
          <w:rFonts w:eastAsia="仿宋_GB2312"/>
          <w:b/>
          <w:color w:val="auto"/>
          <w:sz w:val="32"/>
          <w:szCs w:val="32"/>
        </w:rPr>
        <w:t xml:space="preserve">第二十条  </w:t>
      </w:r>
      <w:r>
        <w:rPr>
          <w:rFonts w:eastAsia="仿宋_GB2312"/>
          <w:color w:val="auto"/>
          <w:sz w:val="32"/>
          <w:szCs w:val="32"/>
        </w:rPr>
        <w:t>研究生奖学金每学年评审一次，每年9月份组织开展，每年12月31日前将当年研究生奖学金一次性发放给获奖学生，并颁发荣誉证书。研究生获得奖学金情况记入其学籍档案。</w:t>
      </w:r>
    </w:p>
    <w:p w14:paraId="6191DBCE">
      <w:pPr>
        <w:spacing w:line="540" w:lineRule="exact"/>
        <w:ind w:firstLine="643" w:firstLineChars="200"/>
        <w:rPr>
          <w:rFonts w:eastAsia="仿宋_GB2312"/>
          <w:color w:val="auto"/>
          <w:sz w:val="32"/>
          <w:szCs w:val="32"/>
        </w:rPr>
      </w:pPr>
      <w:r>
        <w:rPr>
          <w:rFonts w:eastAsia="仿宋_GB2312"/>
          <w:b/>
          <w:color w:val="auto"/>
          <w:sz w:val="32"/>
          <w:szCs w:val="32"/>
        </w:rPr>
        <w:t xml:space="preserve">第二十一条  </w:t>
      </w:r>
      <w:r>
        <w:rPr>
          <w:rFonts w:eastAsia="仿宋_GB2312"/>
          <w:color w:val="auto"/>
          <w:sz w:val="32"/>
          <w:szCs w:val="32"/>
        </w:rPr>
        <w:t>研究生奖学金经费由学校财务处统一管理，专款专用，不得截留、挤占、挪用，并自觉接受财政、审计、纪检监察等部门的检查和监督。</w:t>
      </w:r>
    </w:p>
    <w:p w14:paraId="7E0D9606">
      <w:pPr>
        <w:widowControl/>
        <w:spacing w:before="156" w:beforeLines="50" w:after="156" w:afterLines="50" w:line="540" w:lineRule="exact"/>
        <w:jc w:val="center"/>
        <w:rPr>
          <w:rFonts w:eastAsia="黑体"/>
          <w:b/>
          <w:color w:val="auto"/>
          <w:sz w:val="32"/>
          <w:szCs w:val="32"/>
        </w:rPr>
      </w:pPr>
      <w:r>
        <w:rPr>
          <w:rFonts w:eastAsia="黑体"/>
          <w:b/>
          <w:color w:val="auto"/>
          <w:sz w:val="32"/>
          <w:szCs w:val="32"/>
        </w:rPr>
        <w:t xml:space="preserve">第五章 </w:t>
      </w:r>
      <w:r>
        <w:rPr>
          <w:rFonts w:hint="eastAsia" w:eastAsia="黑体"/>
          <w:b/>
          <w:color w:val="auto"/>
          <w:sz w:val="32"/>
          <w:szCs w:val="32"/>
        </w:rPr>
        <w:t xml:space="preserve"> </w:t>
      </w:r>
      <w:r>
        <w:rPr>
          <w:rFonts w:eastAsia="黑体"/>
          <w:b/>
          <w:color w:val="auto"/>
          <w:sz w:val="32"/>
          <w:szCs w:val="32"/>
        </w:rPr>
        <w:t>有关说明</w:t>
      </w:r>
    </w:p>
    <w:p w14:paraId="728321B5">
      <w:pPr>
        <w:widowControl/>
        <w:spacing w:line="540" w:lineRule="exact"/>
        <w:ind w:firstLine="643" w:firstLineChars="200"/>
        <w:rPr>
          <w:rFonts w:eastAsia="仿宋_GB2312"/>
          <w:color w:val="auto"/>
          <w:sz w:val="32"/>
          <w:szCs w:val="32"/>
        </w:rPr>
      </w:pPr>
      <w:r>
        <w:rPr>
          <w:rFonts w:eastAsia="仿宋_GB2312"/>
          <w:b/>
          <w:color w:val="auto"/>
          <w:sz w:val="32"/>
          <w:szCs w:val="32"/>
        </w:rPr>
        <w:t xml:space="preserve">第二十二条  </w:t>
      </w:r>
      <w:r>
        <w:rPr>
          <w:rFonts w:eastAsia="仿宋_GB2312"/>
          <w:color w:val="auto"/>
          <w:sz w:val="32"/>
          <w:szCs w:val="32"/>
        </w:rPr>
        <w:t>参与评定研究生奖学金的教学科研项目、成果、比赛参照《西北师范大学教学科研项目、成果分类办法（修订）》（西师发〔2021〕160号）进行认定，必须以西北师范大学为第一署名单位，以学生为第一作者发表或者导师为第一作者、学生为第二作者。截止时间为当年8月31日前。</w:t>
      </w:r>
    </w:p>
    <w:p w14:paraId="1F1EF806">
      <w:pPr>
        <w:widowControl/>
        <w:spacing w:line="540" w:lineRule="exact"/>
        <w:ind w:firstLine="643" w:firstLineChars="200"/>
        <w:rPr>
          <w:rFonts w:eastAsia="仿宋_GB2312"/>
          <w:color w:val="auto"/>
          <w:sz w:val="32"/>
          <w:szCs w:val="32"/>
        </w:rPr>
      </w:pPr>
      <w:r>
        <w:rPr>
          <w:rFonts w:eastAsia="仿宋_GB2312"/>
          <w:b/>
          <w:color w:val="auto"/>
          <w:sz w:val="32"/>
          <w:szCs w:val="32"/>
        </w:rPr>
        <w:t>第二十三条</w:t>
      </w:r>
      <w:r>
        <w:rPr>
          <w:rFonts w:eastAsia="仿宋_GB2312"/>
          <w:color w:val="auto"/>
          <w:sz w:val="32"/>
          <w:szCs w:val="32"/>
        </w:rPr>
        <w:t xml:space="preserve">  研究生申请学业单项奖学金时，研究课题、学术期刊论文、著作必须是学生主持的研究课题、学生为第一作者(含与导师合作视同第一作者)发表的学术论文、学生为第一作者出版的专著(著作)；批示性采纳成果、社会实践项目、学科竞赛、创新创业项目等必须是研究生为组长或主体的获批项目；发明专利须西北师范大学为成果第一单位，申报者位列发明人前两位。符合参评条件的科技奖须以西北师范大学为第一完成单位，获奖名单顺序中除去教师和外单位人员，研究生排在获奖者第一位。参与的研究课题、学术期刊论文、著作及参与获得的批示性采纳成果、社会实践项目、学科竞赛、创新创业项目等不纳入单项奖励范围，只可用于学业综合奖学金的评定。</w:t>
      </w:r>
    </w:p>
    <w:p w14:paraId="6E0500F8">
      <w:pPr>
        <w:widowControl/>
        <w:spacing w:line="540" w:lineRule="exact"/>
        <w:ind w:firstLine="643" w:firstLineChars="200"/>
        <w:rPr>
          <w:rFonts w:eastAsia="仿宋_GB2312"/>
          <w:color w:val="auto"/>
          <w:sz w:val="32"/>
          <w:szCs w:val="32"/>
        </w:rPr>
      </w:pPr>
      <w:r>
        <w:rPr>
          <w:rFonts w:eastAsia="仿宋_GB2312"/>
          <w:b/>
          <w:color w:val="auto"/>
          <w:sz w:val="32"/>
          <w:szCs w:val="32"/>
        </w:rPr>
        <w:t xml:space="preserve">第二十四条 </w:t>
      </w:r>
      <w:r>
        <w:rPr>
          <w:rFonts w:hint="eastAsia" w:eastAsia="仿宋_GB2312"/>
          <w:b/>
          <w:color w:val="auto"/>
          <w:sz w:val="32"/>
          <w:szCs w:val="32"/>
        </w:rPr>
        <w:t xml:space="preserve"> </w:t>
      </w:r>
      <w:r>
        <w:rPr>
          <w:rFonts w:hint="eastAsia" w:eastAsia="仿宋_GB2312"/>
          <w:color w:val="auto"/>
          <w:sz w:val="32"/>
          <w:szCs w:val="32"/>
        </w:rPr>
        <w:t>以</w:t>
      </w:r>
      <w:r>
        <w:rPr>
          <w:rFonts w:eastAsia="仿宋_GB2312"/>
          <w:color w:val="auto"/>
          <w:sz w:val="32"/>
          <w:szCs w:val="32"/>
        </w:rPr>
        <w:t>团队</w:t>
      </w:r>
      <w:r>
        <w:rPr>
          <w:rFonts w:hint="eastAsia" w:eastAsia="仿宋_GB2312"/>
          <w:color w:val="auto"/>
          <w:sz w:val="32"/>
          <w:szCs w:val="32"/>
        </w:rPr>
        <w:t>为单位</w:t>
      </w:r>
      <w:r>
        <w:rPr>
          <w:rFonts w:eastAsia="仿宋_GB2312"/>
          <w:color w:val="auto"/>
          <w:sz w:val="32"/>
          <w:szCs w:val="32"/>
        </w:rPr>
        <w:t>申请所有单项奖</w:t>
      </w:r>
      <w:r>
        <w:rPr>
          <w:rFonts w:hint="eastAsia" w:eastAsia="仿宋_GB2312"/>
          <w:color w:val="auto"/>
          <w:sz w:val="32"/>
          <w:szCs w:val="32"/>
        </w:rPr>
        <w:t>时</w:t>
      </w:r>
      <w:r>
        <w:rPr>
          <w:rFonts w:eastAsia="仿宋_GB2312"/>
          <w:color w:val="auto"/>
          <w:sz w:val="32"/>
          <w:szCs w:val="32"/>
        </w:rPr>
        <w:t>，由队长或团队负责人进行申报，其他成员不得重复申报。</w:t>
      </w:r>
    </w:p>
    <w:p w14:paraId="7B99C954">
      <w:pPr>
        <w:spacing w:line="540" w:lineRule="exact"/>
        <w:ind w:firstLine="643" w:firstLineChars="200"/>
        <w:rPr>
          <w:rFonts w:eastAsia="仿宋_GB2312"/>
          <w:color w:val="auto"/>
          <w:sz w:val="32"/>
          <w:szCs w:val="32"/>
        </w:rPr>
      </w:pPr>
      <w:r>
        <w:rPr>
          <w:rFonts w:eastAsia="仿宋_GB2312"/>
          <w:b/>
          <w:color w:val="auto"/>
          <w:sz w:val="32"/>
          <w:szCs w:val="32"/>
        </w:rPr>
        <w:t xml:space="preserve">第二十五条 </w:t>
      </w:r>
      <w:r>
        <w:rPr>
          <w:rFonts w:hint="eastAsia" w:eastAsia="仿宋_GB2312"/>
          <w:b/>
          <w:color w:val="auto"/>
          <w:sz w:val="32"/>
          <w:szCs w:val="32"/>
        </w:rPr>
        <w:t xml:space="preserve"> </w:t>
      </w:r>
      <w:r>
        <w:rPr>
          <w:rFonts w:eastAsia="仿宋_GB2312"/>
          <w:color w:val="auto"/>
          <w:sz w:val="32"/>
          <w:szCs w:val="32"/>
        </w:rPr>
        <w:t>参与评定研究生奖学金的科研成果包括正式见刊的学术论文（发表在外文期刊的，须提供DOI号）、获得正式授权的专利、出版的学术专著、科研奖项及得到有关部门批示的研究咨询报告。</w:t>
      </w:r>
    </w:p>
    <w:p w14:paraId="74BBD8B6">
      <w:pPr>
        <w:widowControl/>
        <w:spacing w:line="540" w:lineRule="exact"/>
        <w:ind w:firstLine="643" w:firstLineChars="200"/>
        <w:rPr>
          <w:rFonts w:eastAsia="仿宋_GB2312"/>
          <w:color w:val="auto"/>
          <w:sz w:val="32"/>
          <w:szCs w:val="32"/>
        </w:rPr>
      </w:pPr>
      <w:r>
        <w:rPr>
          <w:rFonts w:eastAsia="仿宋_GB2312"/>
          <w:b/>
          <w:color w:val="auto"/>
          <w:sz w:val="32"/>
          <w:szCs w:val="32"/>
        </w:rPr>
        <w:t xml:space="preserve">第二十六条  </w:t>
      </w:r>
      <w:r>
        <w:rPr>
          <w:rFonts w:eastAsia="仿宋_GB2312"/>
          <w:color w:val="auto"/>
          <w:sz w:val="32"/>
          <w:szCs w:val="32"/>
        </w:rPr>
        <w:t>研究生在基本修业年限内可多次获得研究生奖学金，已经使用过的研究成果下一年评定时不可重复使用。</w:t>
      </w:r>
    </w:p>
    <w:p w14:paraId="488A9F48">
      <w:pPr>
        <w:widowControl/>
        <w:spacing w:line="540" w:lineRule="exact"/>
        <w:ind w:firstLine="643" w:firstLineChars="200"/>
        <w:rPr>
          <w:rFonts w:eastAsia="仿宋_GB2312"/>
          <w:color w:val="auto"/>
          <w:sz w:val="32"/>
          <w:szCs w:val="32"/>
        </w:rPr>
      </w:pPr>
      <w:r>
        <w:rPr>
          <w:rFonts w:eastAsia="仿宋_GB2312"/>
          <w:b/>
          <w:color w:val="auto"/>
          <w:sz w:val="32"/>
          <w:szCs w:val="32"/>
        </w:rPr>
        <w:t xml:space="preserve">第二十七条  </w:t>
      </w:r>
      <w:r>
        <w:rPr>
          <w:rFonts w:eastAsia="仿宋_GB2312"/>
          <w:color w:val="auto"/>
          <w:sz w:val="32"/>
          <w:szCs w:val="32"/>
        </w:rPr>
        <w:t>同一年国家奖学金和学业综合</w:t>
      </w:r>
      <w:r>
        <w:rPr>
          <w:rFonts w:hint="eastAsia" w:eastAsia="仿宋_GB2312"/>
          <w:color w:val="auto"/>
          <w:sz w:val="32"/>
          <w:szCs w:val="32"/>
        </w:rPr>
        <w:t>一等、二等</w:t>
      </w:r>
      <w:r>
        <w:rPr>
          <w:rFonts w:eastAsia="仿宋_GB2312"/>
          <w:color w:val="auto"/>
          <w:sz w:val="32"/>
          <w:szCs w:val="32"/>
        </w:rPr>
        <w:t>奖学金只能评选其中一项，同时每人每年最多可申报2项单项奖学金。获得国家奖学金或学业综合奖学金，同时获单项奖学金的，获奖者享受荣誉，奖金依据“就高”原则只享受其中的最高额度。同一成果被不同刊物收录（转载）或获得不同级别奖励，“就高”参评一项，不累计。</w:t>
      </w:r>
    </w:p>
    <w:p w14:paraId="5B9FD67E">
      <w:pPr>
        <w:spacing w:line="540" w:lineRule="exact"/>
        <w:ind w:firstLine="643" w:firstLineChars="200"/>
        <w:rPr>
          <w:rFonts w:eastAsia="仿宋_GB2312"/>
          <w:color w:val="auto"/>
          <w:sz w:val="32"/>
          <w:szCs w:val="32"/>
        </w:rPr>
      </w:pPr>
      <w:r>
        <w:rPr>
          <w:rFonts w:eastAsia="仿宋_GB2312"/>
          <w:b/>
          <w:color w:val="auto"/>
          <w:sz w:val="32"/>
          <w:szCs w:val="32"/>
        </w:rPr>
        <w:t xml:space="preserve">第二十八条  </w:t>
      </w:r>
      <w:r>
        <w:rPr>
          <w:rFonts w:eastAsia="仿宋_GB2312"/>
          <w:color w:val="auto"/>
          <w:sz w:val="32"/>
          <w:szCs w:val="32"/>
        </w:rPr>
        <w:t>各学院须依据本办法，坚持以德为先、能力为重、德智体美劳全面发展为原则，避免学术“五唯”倾向，结合学科（专业）实际，科学制定实施细则，量化评审标准，细化评审要求，规范评审程序，制定并向研究生公布本单位研究生国家奖学金、学业综合奖学金评审实施细则，报党委学生工作部备案。</w:t>
      </w:r>
    </w:p>
    <w:p w14:paraId="78E582E2">
      <w:pPr>
        <w:spacing w:line="540" w:lineRule="exact"/>
        <w:ind w:firstLine="643" w:firstLineChars="200"/>
        <w:rPr>
          <w:rFonts w:eastAsia="仿宋_GB2312"/>
          <w:color w:val="auto"/>
          <w:sz w:val="32"/>
          <w:szCs w:val="32"/>
        </w:rPr>
      </w:pPr>
      <w:r>
        <w:rPr>
          <w:rFonts w:eastAsia="仿宋_GB2312"/>
          <w:b/>
          <w:color w:val="auto"/>
          <w:sz w:val="32"/>
          <w:szCs w:val="32"/>
        </w:rPr>
        <w:t xml:space="preserve">第二十九条  </w:t>
      </w:r>
      <w:r>
        <w:rPr>
          <w:rFonts w:eastAsia="仿宋_GB2312"/>
          <w:color w:val="auto"/>
          <w:sz w:val="32"/>
          <w:szCs w:val="32"/>
        </w:rPr>
        <w:t>研究生申报成果应严格遵守学术规范和学术道德，对任何存在学术不端行为的成果，或在申报过程中存在弄虚作假、欺骗、重复申报等行为的，或工作人员存在违规违纪现象的，一经发现，学校将予以严肃处理。</w:t>
      </w:r>
    </w:p>
    <w:p w14:paraId="3B7EC08B">
      <w:pPr>
        <w:widowControl/>
        <w:spacing w:before="156" w:beforeLines="50" w:after="156" w:afterLines="50" w:line="540" w:lineRule="exact"/>
        <w:jc w:val="center"/>
        <w:rPr>
          <w:rFonts w:eastAsia="黑体"/>
          <w:b/>
          <w:color w:val="auto"/>
          <w:sz w:val="32"/>
          <w:szCs w:val="32"/>
        </w:rPr>
      </w:pPr>
      <w:r>
        <w:rPr>
          <w:rFonts w:eastAsia="黑体"/>
          <w:b/>
          <w:color w:val="auto"/>
          <w:sz w:val="32"/>
          <w:szCs w:val="32"/>
        </w:rPr>
        <w:t>第六章  附则</w:t>
      </w:r>
    </w:p>
    <w:p w14:paraId="7904E971">
      <w:pPr>
        <w:spacing w:line="540" w:lineRule="exact"/>
        <w:ind w:firstLine="643" w:firstLineChars="200"/>
        <w:rPr>
          <w:rFonts w:eastAsia="仿宋_GB2312"/>
          <w:color w:val="auto"/>
          <w:sz w:val="32"/>
          <w:szCs w:val="32"/>
        </w:rPr>
      </w:pPr>
      <w:r>
        <w:rPr>
          <w:rFonts w:eastAsia="仿宋_GB2312"/>
          <w:b/>
          <w:color w:val="auto"/>
          <w:sz w:val="32"/>
          <w:szCs w:val="32"/>
        </w:rPr>
        <w:t xml:space="preserve">第三十条  </w:t>
      </w:r>
      <w:r>
        <w:rPr>
          <w:rFonts w:eastAsia="仿宋_GB2312"/>
          <w:color w:val="auto"/>
          <w:sz w:val="32"/>
          <w:szCs w:val="32"/>
        </w:rPr>
        <w:t>其他未尽事宜由党委学生工作部与学院、研究生院、科学研究院协商决定。</w:t>
      </w:r>
    </w:p>
    <w:p w14:paraId="47592FE7">
      <w:pPr>
        <w:spacing w:line="540" w:lineRule="exact"/>
        <w:ind w:firstLine="643" w:firstLineChars="200"/>
        <w:rPr>
          <w:rFonts w:eastAsia="仿宋_GB2312"/>
          <w:color w:val="auto"/>
          <w:sz w:val="32"/>
          <w:szCs w:val="32"/>
        </w:rPr>
      </w:pPr>
      <w:r>
        <w:rPr>
          <w:rFonts w:eastAsia="仿宋_GB2312"/>
          <w:b/>
          <w:color w:val="auto"/>
          <w:sz w:val="32"/>
          <w:szCs w:val="32"/>
        </w:rPr>
        <w:t xml:space="preserve">第三十一条  </w:t>
      </w:r>
      <w:r>
        <w:rPr>
          <w:rFonts w:eastAsia="仿宋_GB2312"/>
          <w:color w:val="auto"/>
          <w:sz w:val="32"/>
          <w:szCs w:val="32"/>
        </w:rPr>
        <w:t>本办法由党委学生工作部负责解释。</w:t>
      </w:r>
    </w:p>
    <w:p w14:paraId="3E0172F1">
      <w:pPr>
        <w:spacing w:line="540" w:lineRule="exact"/>
        <w:ind w:firstLine="643" w:firstLineChars="200"/>
        <w:rPr>
          <w:rFonts w:eastAsia="仿宋_GB2312"/>
          <w:color w:val="auto"/>
          <w:sz w:val="32"/>
          <w:szCs w:val="32"/>
        </w:rPr>
      </w:pPr>
      <w:r>
        <w:rPr>
          <w:rFonts w:eastAsia="仿宋_GB2312"/>
          <w:b/>
          <w:color w:val="auto"/>
          <w:sz w:val="32"/>
          <w:szCs w:val="32"/>
        </w:rPr>
        <w:t xml:space="preserve">第三十二条  </w:t>
      </w:r>
      <w:r>
        <w:rPr>
          <w:rFonts w:hint="eastAsia" w:eastAsia="仿宋_GB2312"/>
          <w:color w:val="auto"/>
          <w:sz w:val="32"/>
          <w:szCs w:val="32"/>
        </w:rPr>
        <w:t>本办法自202</w:t>
      </w:r>
      <w:r>
        <w:rPr>
          <w:rFonts w:eastAsia="仿宋_GB2312"/>
          <w:color w:val="auto"/>
          <w:sz w:val="32"/>
          <w:szCs w:val="32"/>
        </w:rPr>
        <w:t>4</w:t>
      </w:r>
      <w:r>
        <w:rPr>
          <w:rFonts w:hint="eastAsia" w:eastAsia="仿宋_GB2312"/>
          <w:color w:val="auto"/>
          <w:sz w:val="32"/>
          <w:szCs w:val="32"/>
        </w:rPr>
        <w:t>年9月1日起执行。西师党发〔2022〕19号文件中《西北师范大学研究生奖学金</w:t>
      </w:r>
      <w:bookmarkStart w:id="0" w:name="_GoBack"/>
      <w:bookmarkEnd w:id="0"/>
      <w:r>
        <w:rPr>
          <w:rFonts w:hint="eastAsia" w:eastAsia="仿宋_GB2312"/>
          <w:color w:val="auto"/>
          <w:sz w:val="32"/>
          <w:szCs w:val="32"/>
        </w:rPr>
        <w:t>评审实施办法（试行）》同时废止。</w:t>
      </w:r>
    </w:p>
    <w:sectPr>
      <w:footerReference r:id="rId3"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52D5F7A-A236-4C7A-936A-B46B3D03BC29}"/>
  </w:font>
  <w:font w:name="Arial">
    <w:panose1 w:val="020B0604020202020204"/>
    <w:charset w:val="01"/>
    <w:family w:val="swiss"/>
    <w:pitch w:val="default"/>
    <w:sig w:usb0="E0002EFF" w:usb1="C000785B" w:usb2="00000009" w:usb3="00000000" w:csb0="400001FF" w:csb1="FFFF0000"/>
    <w:embedRegular r:id="rId2" w:fontKey="{B846813B-7886-42DD-8369-CE34896E03F8}"/>
  </w:font>
  <w:font w:name="黑体">
    <w:panose1 w:val="02010609060101010101"/>
    <w:charset w:val="86"/>
    <w:family w:val="auto"/>
    <w:pitch w:val="default"/>
    <w:sig w:usb0="800002BF" w:usb1="38CF7CFA" w:usb2="00000016" w:usb3="00000000" w:csb0="00040001" w:csb1="00000000"/>
    <w:embedRegular r:id="rId3" w:fontKey="{F4A77A8B-A7F9-4CE2-AD82-EB24773D95CD}"/>
  </w:font>
  <w:font w:name="Courier New">
    <w:panose1 w:val="02070309020205020404"/>
    <w:charset w:val="01"/>
    <w:family w:val="modern"/>
    <w:pitch w:val="default"/>
    <w:sig w:usb0="E0002EFF" w:usb1="C0007843" w:usb2="00000009" w:usb3="00000000" w:csb0="400001FF" w:csb1="FFFF0000"/>
    <w:embedRegular r:id="rId4" w:fontKey="{FCD3D461-EABB-49EF-BBCD-86543FD004DB}"/>
  </w:font>
  <w:font w:name="Symbol">
    <w:panose1 w:val="05050102010706020507"/>
    <w:charset w:val="02"/>
    <w:family w:val="roman"/>
    <w:pitch w:val="default"/>
    <w:sig w:usb0="00000000" w:usb1="00000000" w:usb2="00000000" w:usb3="00000000" w:csb0="80000000" w:csb1="00000000"/>
    <w:embedRegular r:id="rId5" w:fontKey="{00F72160-B42D-44CB-8059-EAA9D4974B06}"/>
  </w:font>
  <w:font w:name="Calibri">
    <w:panose1 w:val="020F0502020204030204"/>
    <w:charset w:val="00"/>
    <w:family w:val="swiss"/>
    <w:pitch w:val="default"/>
    <w:sig w:usb0="E4002EFF" w:usb1="C200247B" w:usb2="00000009" w:usb3="00000000" w:csb0="200001FF" w:csb1="00000000"/>
    <w:embedRegular r:id="rId6" w:fontKey="{3FBDAB68-6F23-442C-97B4-3B53B501529E}"/>
  </w:font>
  <w:font w:name="方正小标宋简体">
    <w:panose1 w:val="02000000000000000000"/>
    <w:charset w:val="86"/>
    <w:family w:val="auto"/>
    <w:pitch w:val="default"/>
    <w:sig w:usb0="00000001" w:usb1="080E0000" w:usb2="00000000" w:usb3="00000000" w:csb0="00040000" w:csb1="00000000"/>
    <w:embedRegular r:id="rId7" w:fontKey="{87FF2A68-16F8-45EE-9738-1A89683B5216}"/>
  </w:font>
  <w:font w:name="仿宋_GB2312">
    <w:panose1 w:val="02010609030101010101"/>
    <w:charset w:val="86"/>
    <w:family w:val="modern"/>
    <w:pitch w:val="default"/>
    <w:sig w:usb0="00000001" w:usb1="080E0000" w:usb2="00000000" w:usb3="00000000" w:csb0="00040000" w:csb1="00000000"/>
    <w:embedRegular r:id="rId8" w:fontKey="{A335A12B-8534-4830-A75E-96BEC2A54A53}"/>
  </w:font>
  <w:font w:name="新宋体">
    <w:panose1 w:val="02010609030101010101"/>
    <w:charset w:val="86"/>
    <w:family w:val="modern"/>
    <w:pitch w:val="default"/>
    <w:sig w:usb0="00000203" w:usb1="288F0000" w:usb2="00000006" w:usb3="00000000" w:csb0="00040001" w:csb1="00000000"/>
    <w:embedRegular r:id="rId9" w:fontKey="{B1FB4D4D-E732-497A-9F65-15F1BCBE19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8EB31">
    <w:pPr>
      <w:pStyle w:val="5"/>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ascii="仿宋_GB2312" w:hAnsi="仿宋_GB2312" w:eastAsia="仿宋_GB2312" w:cs="仿宋_GB2312"/>
        <w:sz w:val="24"/>
        <w:szCs w:val="24"/>
      </w:rPr>
      <w:t>- 11 -</w:t>
    </w:r>
    <w:r>
      <w:rPr>
        <w:rFonts w:hint="eastAsia" w:ascii="仿宋_GB2312" w:hAnsi="仿宋_GB2312" w:eastAsia="仿宋_GB2312" w:cs="仿宋_GB2312"/>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2EE"/>
    <w:rsid w:val="0000172C"/>
    <w:rsid w:val="0000178B"/>
    <w:rsid w:val="00002D8B"/>
    <w:rsid w:val="00012146"/>
    <w:rsid w:val="00013C2A"/>
    <w:rsid w:val="00017AB9"/>
    <w:rsid w:val="00020E6B"/>
    <w:rsid w:val="000239BD"/>
    <w:rsid w:val="000269CA"/>
    <w:rsid w:val="000269D0"/>
    <w:rsid w:val="00035629"/>
    <w:rsid w:val="0004323A"/>
    <w:rsid w:val="00046500"/>
    <w:rsid w:val="00047144"/>
    <w:rsid w:val="00052E42"/>
    <w:rsid w:val="00064CC6"/>
    <w:rsid w:val="000721E6"/>
    <w:rsid w:val="00074DF6"/>
    <w:rsid w:val="00076FA4"/>
    <w:rsid w:val="00077810"/>
    <w:rsid w:val="00081DFA"/>
    <w:rsid w:val="000854A3"/>
    <w:rsid w:val="000927F9"/>
    <w:rsid w:val="00092AF5"/>
    <w:rsid w:val="000A45DA"/>
    <w:rsid w:val="000C32E6"/>
    <w:rsid w:val="000C48C3"/>
    <w:rsid w:val="000C64B7"/>
    <w:rsid w:val="000C71F9"/>
    <w:rsid w:val="000D0DB3"/>
    <w:rsid w:val="000D40C7"/>
    <w:rsid w:val="000D6FF9"/>
    <w:rsid w:val="000E19F1"/>
    <w:rsid w:val="000E4325"/>
    <w:rsid w:val="000E67D1"/>
    <w:rsid w:val="001022D1"/>
    <w:rsid w:val="00111BEA"/>
    <w:rsid w:val="001140A3"/>
    <w:rsid w:val="00120B6C"/>
    <w:rsid w:val="001246C2"/>
    <w:rsid w:val="001302AD"/>
    <w:rsid w:val="00130F53"/>
    <w:rsid w:val="001310BA"/>
    <w:rsid w:val="00135184"/>
    <w:rsid w:val="00135286"/>
    <w:rsid w:val="00153CB1"/>
    <w:rsid w:val="0016207B"/>
    <w:rsid w:val="001761EC"/>
    <w:rsid w:val="0018158D"/>
    <w:rsid w:val="00183CA6"/>
    <w:rsid w:val="00184402"/>
    <w:rsid w:val="00190C73"/>
    <w:rsid w:val="00191B8A"/>
    <w:rsid w:val="00193BEE"/>
    <w:rsid w:val="001A0062"/>
    <w:rsid w:val="001A2095"/>
    <w:rsid w:val="001A2B80"/>
    <w:rsid w:val="001A6EF3"/>
    <w:rsid w:val="001B0635"/>
    <w:rsid w:val="001B4ED2"/>
    <w:rsid w:val="001B5158"/>
    <w:rsid w:val="001C15EA"/>
    <w:rsid w:val="001C4D04"/>
    <w:rsid w:val="001C5CD8"/>
    <w:rsid w:val="001D0A67"/>
    <w:rsid w:val="001D1715"/>
    <w:rsid w:val="001D3AEE"/>
    <w:rsid w:val="001D657E"/>
    <w:rsid w:val="001E085F"/>
    <w:rsid w:val="001E0B6D"/>
    <w:rsid w:val="001E16C9"/>
    <w:rsid w:val="001E5CD2"/>
    <w:rsid w:val="001E7021"/>
    <w:rsid w:val="001F1BFC"/>
    <w:rsid w:val="001F63F4"/>
    <w:rsid w:val="00200E64"/>
    <w:rsid w:val="002037C0"/>
    <w:rsid w:val="00204665"/>
    <w:rsid w:val="002046A3"/>
    <w:rsid w:val="00204915"/>
    <w:rsid w:val="002052DA"/>
    <w:rsid w:val="00207C32"/>
    <w:rsid w:val="0021116A"/>
    <w:rsid w:val="00211507"/>
    <w:rsid w:val="002148CB"/>
    <w:rsid w:val="00216461"/>
    <w:rsid w:val="00221425"/>
    <w:rsid w:val="00222164"/>
    <w:rsid w:val="002229B9"/>
    <w:rsid w:val="00223987"/>
    <w:rsid w:val="002255FE"/>
    <w:rsid w:val="00226F14"/>
    <w:rsid w:val="0023346A"/>
    <w:rsid w:val="00235621"/>
    <w:rsid w:val="002356FE"/>
    <w:rsid w:val="00235DC2"/>
    <w:rsid w:val="002365A1"/>
    <w:rsid w:val="0024022A"/>
    <w:rsid w:val="00241331"/>
    <w:rsid w:val="002436B9"/>
    <w:rsid w:val="00255F19"/>
    <w:rsid w:val="002566AE"/>
    <w:rsid w:val="00260D8F"/>
    <w:rsid w:val="00261237"/>
    <w:rsid w:val="002615BE"/>
    <w:rsid w:val="00262B95"/>
    <w:rsid w:val="00263387"/>
    <w:rsid w:val="00265649"/>
    <w:rsid w:val="0026714E"/>
    <w:rsid w:val="002707F3"/>
    <w:rsid w:val="002708EC"/>
    <w:rsid w:val="00275514"/>
    <w:rsid w:val="00282B4D"/>
    <w:rsid w:val="002843ED"/>
    <w:rsid w:val="00284C69"/>
    <w:rsid w:val="002870B4"/>
    <w:rsid w:val="00293566"/>
    <w:rsid w:val="002A28C2"/>
    <w:rsid w:val="002A339D"/>
    <w:rsid w:val="002A5B88"/>
    <w:rsid w:val="002A6A91"/>
    <w:rsid w:val="002A6AF8"/>
    <w:rsid w:val="002A77FF"/>
    <w:rsid w:val="002B562C"/>
    <w:rsid w:val="002B784B"/>
    <w:rsid w:val="002B7FE0"/>
    <w:rsid w:val="002C1CAC"/>
    <w:rsid w:val="002C5A71"/>
    <w:rsid w:val="002D009D"/>
    <w:rsid w:val="002D08E1"/>
    <w:rsid w:val="002D337D"/>
    <w:rsid w:val="002D58C8"/>
    <w:rsid w:val="002E0A18"/>
    <w:rsid w:val="002E4AFB"/>
    <w:rsid w:val="002F08F0"/>
    <w:rsid w:val="002F2ED3"/>
    <w:rsid w:val="002F3BD6"/>
    <w:rsid w:val="00300D3F"/>
    <w:rsid w:val="00305D5E"/>
    <w:rsid w:val="00306B75"/>
    <w:rsid w:val="003112A5"/>
    <w:rsid w:val="00312D41"/>
    <w:rsid w:val="00316742"/>
    <w:rsid w:val="003229A2"/>
    <w:rsid w:val="003232E2"/>
    <w:rsid w:val="003236BE"/>
    <w:rsid w:val="00334481"/>
    <w:rsid w:val="00336A51"/>
    <w:rsid w:val="00340930"/>
    <w:rsid w:val="003515EB"/>
    <w:rsid w:val="00352301"/>
    <w:rsid w:val="00352901"/>
    <w:rsid w:val="00370BE7"/>
    <w:rsid w:val="00371CE8"/>
    <w:rsid w:val="003722C7"/>
    <w:rsid w:val="003772F3"/>
    <w:rsid w:val="00377478"/>
    <w:rsid w:val="00377E79"/>
    <w:rsid w:val="00380472"/>
    <w:rsid w:val="00381644"/>
    <w:rsid w:val="00381ACE"/>
    <w:rsid w:val="003860D4"/>
    <w:rsid w:val="00386A25"/>
    <w:rsid w:val="00394A43"/>
    <w:rsid w:val="00394ED5"/>
    <w:rsid w:val="003967F3"/>
    <w:rsid w:val="00397D04"/>
    <w:rsid w:val="003A03B8"/>
    <w:rsid w:val="003A68DB"/>
    <w:rsid w:val="003A6EE1"/>
    <w:rsid w:val="003A78C4"/>
    <w:rsid w:val="003B3004"/>
    <w:rsid w:val="003B4D1A"/>
    <w:rsid w:val="003C0147"/>
    <w:rsid w:val="003C6795"/>
    <w:rsid w:val="003C7B3E"/>
    <w:rsid w:val="003C7EDC"/>
    <w:rsid w:val="003E141D"/>
    <w:rsid w:val="003E641E"/>
    <w:rsid w:val="00400B6D"/>
    <w:rsid w:val="00401C0E"/>
    <w:rsid w:val="00402E7C"/>
    <w:rsid w:val="0041016B"/>
    <w:rsid w:val="004136E9"/>
    <w:rsid w:val="00414B8A"/>
    <w:rsid w:val="00425C7D"/>
    <w:rsid w:val="00431AC3"/>
    <w:rsid w:val="00446CFE"/>
    <w:rsid w:val="00452B69"/>
    <w:rsid w:val="004545A4"/>
    <w:rsid w:val="004636E9"/>
    <w:rsid w:val="00463F09"/>
    <w:rsid w:val="00466E90"/>
    <w:rsid w:val="004712BD"/>
    <w:rsid w:val="00471ADA"/>
    <w:rsid w:val="00476F71"/>
    <w:rsid w:val="00480471"/>
    <w:rsid w:val="004910E9"/>
    <w:rsid w:val="00497201"/>
    <w:rsid w:val="004A6370"/>
    <w:rsid w:val="004A707A"/>
    <w:rsid w:val="004B0BF8"/>
    <w:rsid w:val="004B0DE4"/>
    <w:rsid w:val="004B24CE"/>
    <w:rsid w:val="004B2BA1"/>
    <w:rsid w:val="004B4544"/>
    <w:rsid w:val="004B4725"/>
    <w:rsid w:val="004B5113"/>
    <w:rsid w:val="004C3361"/>
    <w:rsid w:val="004C408E"/>
    <w:rsid w:val="004C7CB5"/>
    <w:rsid w:val="004C7E0F"/>
    <w:rsid w:val="004D2265"/>
    <w:rsid w:val="004D2FF6"/>
    <w:rsid w:val="004E0578"/>
    <w:rsid w:val="004F1162"/>
    <w:rsid w:val="004F2577"/>
    <w:rsid w:val="0050016C"/>
    <w:rsid w:val="0050355C"/>
    <w:rsid w:val="0050470A"/>
    <w:rsid w:val="00520112"/>
    <w:rsid w:val="00522DA7"/>
    <w:rsid w:val="005358F6"/>
    <w:rsid w:val="005406DB"/>
    <w:rsid w:val="00541E58"/>
    <w:rsid w:val="00542504"/>
    <w:rsid w:val="005451BA"/>
    <w:rsid w:val="0054550D"/>
    <w:rsid w:val="00550B2F"/>
    <w:rsid w:val="0055144D"/>
    <w:rsid w:val="005527CD"/>
    <w:rsid w:val="00561348"/>
    <w:rsid w:val="00564CCB"/>
    <w:rsid w:val="00564F9F"/>
    <w:rsid w:val="00567DB4"/>
    <w:rsid w:val="00573185"/>
    <w:rsid w:val="00573B3A"/>
    <w:rsid w:val="00575648"/>
    <w:rsid w:val="00575A5E"/>
    <w:rsid w:val="005803EC"/>
    <w:rsid w:val="005849EC"/>
    <w:rsid w:val="005907C2"/>
    <w:rsid w:val="00590A8A"/>
    <w:rsid w:val="005A0112"/>
    <w:rsid w:val="005A14BA"/>
    <w:rsid w:val="005A613F"/>
    <w:rsid w:val="005B3FF1"/>
    <w:rsid w:val="005C5FDD"/>
    <w:rsid w:val="005C627F"/>
    <w:rsid w:val="005C6BAE"/>
    <w:rsid w:val="005D2509"/>
    <w:rsid w:val="005D487E"/>
    <w:rsid w:val="005D4EEF"/>
    <w:rsid w:val="005D7400"/>
    <w:rsid w:val="005E735D"/>
    <w:rsid w:val="005E73D8"/>
    <w:rsid w:val="005F65FE"/>
    <w:rsid w:val="005F6FCB"/>
    <w:rsid w:val="00600CDA"/>
    <w:rsid w:val="00603FC2"/>
    <w:rsid w:val="00614170"/>
    <w:rsid w:val="00615635"/>
    <w:rsid w:val="006174EF"/>
    <w:rsid w:val="00623B8D"/>
    <w:rsid w:val="00624BA9"/>
    <w:rsid w:val="00632D30"/>
    <w:rsid w:val="006346D9"/>
    <w:rsid w:val="00635C2D"/>
    <w:rsid w:val="0063744C"/>
    <w:rsid w:val="00637A17"/>
    <w:rsid w:val="006504AC"/>
    <w:rsid w:val="0065140B"/>
    <w:rsid w:val="00651803"/>
    <w:rsid w:val="00654544"/>
    <w:rsid w:val="0065510C"/>
    <w:rsid w:val="00655A36"/>
    <w:rsid w:val="006660B6"/>
    <w:rsid w:val="0066672B"/>
    <w:rsid w:val="00671C4F"/>
    <w:rsid w:val="00674602"/>
    <w:rsid w:val="00680CF6"/>
    <w:rsid w:val="006842BA"/>
    <w:rsid w:val="00685038"/>
    <w:rsid w:val="0069442B"/>
    <w:rsid w:val="00695367"/>
    <w:rsid w:val="00695935"/>
    <w:rsid w:val="006A2178"/>
    <w:rsid w:val="006A38B6"/>
    <w:rsid w:val="006A5167"/>
    <w:rsid w:val="006A58B5"/>
    <w:rsid w:val="006B040F"/>
    <w:rsid w:val="006B0BC5"/>
    <w:rsid w:val="006B0FD8"/>
    <w:rsid w:val="006B1F57"/>
    <w:rsid w:val="006B4A8D"/>
    <w:rsid w:val="006B7828"/>
    <w:rsid w:val="006C0D73"/>
    <w:rsid w:val="006C18D4"/>
    <w:rsid w:val="006C19A8"/>
    <w:rsid w:val="006C3EF2"/>
    <w:rsid w:val="006C7E10"/>
    <w:rsid w:val="006D36CF"/>
    <w:rsid w:val="006D68A0"/>
    <w:rsid w:val="006D771C"/>
    <w:rsid w:val="006E4A67"/>
    <w:rsid w:val="006E69C7"/>
    <w:rsid w:val="006E78FD"/>
    <w:rsid w:val="006F38FC"/>
    <w:rsid w:val="006F4B0B"/>
    <w:rsid w:val="006F5EC5"/>
    <w:rsid w:val="006F6BCB"/>
    <w:rsid w:val="007055BA"/>
    <w:rsid w:val="00710A21"/>
    <w:rsid w:val="007154F4"/>
    <w:rsid w:val="00715AEB"/>
    <w:rsid w:val="007175AE"/>
    <w:rsid w:val="00721924"/>
    <w:rsid w:val="00727375"/>
    <w:rsid w:val="0073197D"/>
    <w:rsid w:val="00731E61"/>
    <w:rsid w:val="00732414"/>
    <w:rsid w:val="00737504"/>
    <w:rsid w:val="0074044F"/>
    <w:rsid w:val="0074170C"/>
    <w:rsid w:val="00743071"/>
    <w:rsid w:val="0075014E"/>
    <w:rsid w:val="00754DFE"/>
    <w:rsid w:val="007552B5"/>
    <w:rsid w:val="00755710"/>
    <w:rsid w:val="00756AD2"/>
    <w:rsid w:val="0076359E"/>
    <w:rsid w:val="00765215"/>
    <w:rsid w:val="00772187"/>
    <w:rsid w:val="00772506"/>
    <w:rsid w:val="00774E88"/>
    <w:rsid w:val="00783D9C"/>
    <w:rsid w:val="00784A3E"/>
    <w:rsid w:val="00792EB1"/>
    <w:rsid w:val="0079635E"/>
    <w:rsid w:val="007A0A2C"/>
    <w:rsid w:val="007C00AF"/>
    <w:rsid w:val="007C0F87"/>
    <w:rsid w:val="007C3F09"/>
    <w:rsid w:val="007C6B37"/>
    <w:rsid w:val="007D04D4"/>
    <w:rsid w:val="007D117A"/>
    <w:rsid w:val="007D427F"/>
    <w:rsid w:val="007D788D"/>
    <w:rsid w:val="007E24DB"/>
    <w:rsid w:val="007E25E9"/>
    <w:rsid w:val="007E5A66"/>
    <w:rsid w:val="007E7933"/>
    <w:rsid w:val="007F0883"/>
    <w:rsid w:val="007F25BB"/>
    <w:rsid w:val="007F5271"/>
    <w:rsid w:val="007F6B8B"/>
    <w:rsid w:val="008027C6"/>
    <w:rsid w:val="008039F9"/>
    <w:rsid w:val="008042D4"/>
    <w:rsid w:val="0080469C"/>
    <w:rsid w:val="00811DAD"/>
    <w:rsid w:val="008132A3"/>
    <w:rsid w:val="0082591E"/>
    <w:rsid w:val="00825E04"/>
    <w:rsid w:val="0083516F"/>
    <w:rsid w:val="008353E9"/>
    <w:rsid w:val="008363C0"/>
    <w:rsid w:val="00836C0E"/>
    <w:rsid w:val="008407E6"/>
    <w:rsid w:val="00843FC2"/>
    <w:rsid w:val="0084728F"/>
    <w:rsid w:val="00847BCA"/>
    <w:rsid w:val="00850BAE"/>
    <w:rsid w:val="008533FE"/>
    <w:rsid w:val="0085613C"/>
    <w:rsid w:val="008572C6"/>
    <w:rsid w:val="00861936"/>
    <w:rsid w:val="008632EE"/>
    <w:rsid w:val="00863DEB"/>
    <w:rsid w:val="008669E5"/>
    <w:rsid w:val="00872F62"/>
    <w:rsid w:val="0087465C"/>
    <w:rsid w:val="008803BA"/>
    <w:rsid w:val="00880CCC"/>
    <w:rsid w:val="008827D7"/>
    <w:rsid w:val="00887427"/>
    <w:rsid w:val="00891248"/>
    <w:rsid w:val="0089540B"/>
    <w:rsid w:val="0089613C"/>
    <w:rsid w:val="00897315"/>
    <w:rsid w:val="00897518"/>
    <w:rsid w:val="008A109E"/>
    <w:rsid w:val="008A37D9"/>
    <w:rsid w:val="008A7A47"/>
    <w:rsid w:val="008B2829"/>
    <w:rsid w:val="008B39E4"/>
    <w:rsid w:val="008C27E7"/>
    <w:rsid w:val="008C5415"/>
    <w:rsid w:val="008C611E"/>
    <w:rsid w:val="008D054B"/>
    <w:rsid w:val="008D1DCB"/>
    <w:rsid w:val="008D209B"/>
    <w:rsid w:val="008D2BB7"/>
    <w:rsid w:val="008D408C"/>
    <w:rsid w:val="008D5055"/>
    <w:rsid w:val="008D7C09"/>
    <w:rsid w:val="008E7EE3"/>
    <w:rsid w:val="008F0868"/>
    <w:rsid w:val="00903274"/>
    <w:rsid w:val="00911F71"/>
    <w:rsid w:val="009163C9"/>
    <w:rsid w:val="00922FA6"/>
    <w:rsid w:val="00923D21"/>
    <w:rsid w:val="00925F70"/>
    <w:rsid w:val="0092737F"/>
    <w:rsid w:val="00933B9C"/>
    <w:rsid w:val="00940668"/>
    <w:rsid w:val="00943A35"/>
    <w:rsid w:val="0094558C"/>
    <w:rsid w:val="0094621D"/>
    <w:rsid w:val="00946B88"/>
    <w:rsid w:val="00950039"/>
    <w:rsid w:val="00954B2F"/>
    <w:rsid w:val="009552CD"/>
    <w:rsid w:val="00957F7A"/>
    <w:rsid w:val="00962019"/>
    <w:rsid w:val="00965145"/>
    <w:rsid w:val="009677F3"/>
    <w:rsid w:val="009678F2"/>
    <w:rsid w:val="00967A5D"/>
    <w:rsid w:val="0097175C"/>
    <w:rsid w:val="0097176C"/>
    <w:rsid w:val="00973C58"/>
    <w:rsid w:val="00974485"/>
    <w:rsid w:val="009762C1"/>
    <w:rsid w:val="009771A0"/>
    <w:rsid w:val="0097722A"/>
    <w:rsid w:val="00983040"/>
    <w:rsid w:val="00984A51"/>
    <w:rsid w:val="009850AD"/>
    <w:rsid w:val="0099151A"/>
    <w:rsid w:val="0099435B"/>
    <w:rsid w:val="00997C82"/>
    <w:rsid w:val="009C3141"/>
    <w:rsid w:val="009C50FE"/>
    <w:rsid w:val="009C53E2"/>
    <w:rsid w:val="009C63A0"/>
    <w:rsid w:val="009D05F5"/>
    <w:rsid w:val="009D2294"/>
    <w:rsid w:val="009D52D8"/>
    <w:rsid w:val="009D639F"/>
    <w:rsid w:val="009E0713"/>
    <w:rsid w:val="009E0A7A"/>
    <w:rsid w:val="009E2BD6"/>
    <w:rsid w:val="009E7F35"/>
    <w:rsid w:val="009F1635"/>
    <w:rsid w:val="009F3624"/>
    <w:rsid w:val="009F3AA5"/>
    <w:rsid w:val="009F4E73"/>
    <w:rsid w:val="00A01E00"/>
    <w:rsid w:val="00A02912"/>
    <w:rsid w:val="00A04BDE"/>
    <w:rsid w:val="00A064E7"/>
    <w:rsid w:val="00A06C80"/>
    <w:rsid w:val="00A13FB3"/>
    <w:rsid w:val="00A149A0"/>
    <w:rsid w:val="00A14E80"/>
    <w:rsid w:val="00A167BE"/>
    <w:rsid w:val="00A20B45"/>
    <w:rsid w:val="00A2169E"/>
    <w:rsid w:val="00A230B1"/>
    <w:rsid w:val="00A239D8"/>
    <w:rsid w:val="00A27407"/>
    <w:rsid w:val="00A27B8B"/>
    <w:rsid w:val="00A34617"/>
    <w:rsid w:val="00A36E3E"/>
    <w:rsid w:val="00A413F9"/>
    <w:rsid w:val="00A43956"/>
    <w:rsid w:val="00A516C8"/>
    <w:rsid w:val="00A55FE7"/>
    <w:rsid w:val="00A631A4"/>
    <w:rsid w:val="00A63C82"/>
    <w:rsid w:val="00A64F27"/>
    <w:rsid w:val="00A6743D"/>
    <w:rsid w:val="00A67E48"/>
    <w:rsid w:val="00A67ED4"/>
    <w:rsid w:val="00A77286"/>
    <w:rsid w:val="00A9076B"/>
    <w:rsid w:val="00A91734"/>
    <w:rsid w:val="00A91791"/>
    <w:rsid w:val="00A93733"/>
    <w:rsid w:val="00AA02A2"/>
    <w:rsid w:val="00AA0644"/>
    <w:rsid w:val="00AA624C"/>
    <w:rsid w:val="00AA6EDD"/>
    <w:rsid w:val="00AB1C19"/>
    <w:rsid w:val="00AC10C5"/>
    <w:rsid w:val="00AC25D9"/>
    <w:rsid w:val="00AC62FD"/>
    <w:rsid w:val="00AD009B"/>
    <w:rsid w:val="00AD0B1D"/>
    <w:rsid w:val="00AD19F1"/>
    <w:rsid w:val="00AD2C21"/>
    <w:rsid w:val="00AD442D"/>
    <w:rsid w:val="00AE17EF"/>
    <w:rsid w:val="00AE7975"/>
    <w:rsid w:val="00AF275C"/>
    <w:rsid w:val="00B02582"/>
    <w:rsid w:val="00B0363E"/>
    <w:rsid w:val="00B036FF"/>
    <w:rsid w:val="00B04BCF"/>
    <w:rsid w:val="00B05413"/>
    <w:rsid w:val="00B12BFD"/>
    <w:rsid w:val="00B13A71"/>
    <w:rsid w:val="00B24C8F"/>
    <w:rsid w:val="00B32758"/>
    <w:rsid w:val="00B33390"/>
    <w:rsid w:val="00B34660"/>
    <w:rsid w:val="00B40087"/>
    <w:rsid w:val="00B45C36"/>
    <w:rsid w:val="00B47E91"/>
    <w:rsid w:val="00B56ED4"/>
    <w:rsid w:val="00B64E39"/>
    <w:rsid w:val="00B67983"/>
    <w:rsid w:val="00B71603"/>
    <w:rsid w:val="00B720EE"/>
    <w:rsid w:val="00B772CA"/>
    <w:rsid w:val="00B8004F"/>
    <w:rsid w:val="00B8016F"/>
    <w:rsid w:val="00B81542"/>
    <w:rsid w:val="00B8702F"/>
    <w:rsid w:val="00B943D8"/>
    <w:rsid w:val="00B966A3"/>
    <w:rsid w:val="00B96AEA"/>
    <w:rsid w:val="00BA0344"/>
    <w:rsid w:val="00BA1825"/>
    <w:rsid w:val="00BA1A9D"/>
    <w:rsid w:val="00BA7BCE"/>
    <w:rsid w:val="00BB1C4A"/>
    <w:rsid w:val="00BB5136"/>
    <w:rsid w:val="00BB5851"/>
    <w:rsid w:val="00BB7091"/>
    <w:rsid w:val="00BC1225"/>
    <w:rsid w:val="00BC3C6C"/>
    <w:rsid w:val="00BD7275"/>
    <w:rsid w:val="00BE2DB1"/>
    <w:rsid w:val="00BE7324"/>
    <w:rsid w:val="00BF0078"/>
    <w:rsid w:val="00BF40E3"/>
    <w:rsid w:val="00BF4B00"/>
    <w:rsid w:val="00BF5299"/>
    <w:rsid w:val="00BF7CDC"/>
    <w:rsid w:val="00C02B32"/>
    <w:rsid w:val="00C044FC"/>
    <w:rsid w:val="00C047EE"/>
    <w:rsid w:val="00C06BD7"/>
    <w:rsid w:val="00C10B49"/>
    <w:rsid w:val="00C13EB0"/>
    <w:rsid w:val="00C15884"/>
    <w:rsid w:val="00C211E9"/>
    <w:rsid w:val="00C2333D"/>
    <w:rsid w:val="00C31A63"/>
    <w:rsid w:val="00C31F43"/>
    <w:rsid w:val="00C37CB0"/>
    <w:rsid w:val="00C47FDC"/>
    <w:rsid w:val="00C529C6"/>
    <w:rsid w:val="00C533A4"/>
    <w:rsid w:val="00C56AB1"/>
    <w:rsid w:val="00C56AE4"/>
    <w:rsid w:val="00C61CCE"/>
    <w:rsid w:val="00C66C71"/>
    <w:rsid w:val="00C71018"/>
    <w:rsid w:val="00C7240C"/>
    <w:rsid w:val="00C74734"/>
    <w:rsid w:val="00C7596C"/>
    <w:rsid w:val="00C76A62"/>
    <w:rsid w:val="00C779E0"/>
    <w:rsid w:val="00C813E4"/>
    <w:rsid w:val="00C820F5"/>
    <w:rsid w:val="00C84307"/>
    <w:rsid w:val="00C852B7"/>
    <w:rsid w:val="00C9286B"/>
    <w:rsid w:val="00CA28C6"/>
    <w:rsid w:val="00CA40D8"/>
    <w:rsid w:val="00CA43FA"/>
    <w:rsid w:val="00CA45D0"/>
    <w:rsid w:val="00CA5AE4"/>
    <w:rsid w:val="00CB6025"/>
    <w:rsid w:val="00CB65E1"/>
    <w:rsid w:val="00CC0960"/>
    <w:rsid w:val="00CC0AFE"/>
    <w:rsid w:val="00CC233C"/>
    <w:rsid w:val="00CC7FDE"/>
    <w:rsid w:val="00CD21E9"/>
    <w:rsid w:val="00CD49DE"/>
    <w:rsid w:val="00CD4FAE"/>
    <w:rsid w:val="00CE0C40"/>
    <w:rsid w:val="00CF0887"/>
    <w:rsid w:val="00CF1A28"/>
    <w:rsid w:val="00D0024C"/>
    <w:rsid w:val="00D00F1C"/>
    <w:rsid w:val="00D00FCF"/>
    <w:rsid w:val="00D07C57"/>
    <w:rsid w:val="00D15785"/>
    <w:rsid w:val="00D232F3"/>
    <w:rsid w:val="00D24D14"/>
    <w:rsid w:val="00D34331"/>
    <w:rsid w:val="00D37C40"/>
    <w:rsid w:val="00D40597"/>
    <w:rsid w:val="00D425A0"/>
    <w:rsid w:val="00D45242"/>
    <w:rsid w:val="00D46A6D"/>
    <w:rsid w:val="00D509E9"/>
    <w:rsid w:val="00D54252"/>
    <w:rsid w:val="00D5509B"/>
    <w:rsid w:val="00D55EA1"/>
    <w:rsid w:val="00D5760A"/>
    <w:rsid w:val="00D57C38"/>
    <w:rsid w:val="00D64158"/>
    <w:rsid w:val="00D6572B"/>
    <w:rsid w:val="00D665F0"/>
    <w:rsid w:val="00D6676B"/>
    <w:rsid w:val="00D70A89"/>
    <w:rsid w:val="00D735C6"/>
    <w:rsid w:val="00D74ADA"/>
    <w:rsid w:val="00D7699F"/>
    <w:rsid w:val="00D816ED"/>
    <w:rsid w:val="00D82812"/>
    <w:rsid w:val="00D86BC5"/>
    <w:rsid w:val="00D86FB0"/>
    <w:rsid w:val="00D90B5D"/>
    <w:rsid w:val="00D92894"/>
    <w:rsid w:val="00D9553E"/>
    <w:rsid w:val="00D95FE4"/>
    <w:rsid w:val="00D97157"/>
    <w:rsid w:val="00DA24EB"/>
    <w:rsid w:val="00DA5CB2"/>
    <w:rsid w:val="00DB27E9"/>
    <w:rsid w:val="00DB2A64"/>
    <w:rsid w:val="00DB3C9D"/>
    <w:rsid w:val="00DB5C9B"/>
    <w:rsid w:val="00DD1DDB"/>
    <w:rsid w:val="00DD2854"/>
    <w:rsid w:val="00DD7E37"/>
    <w:rsid w:val="00DE0611"/>
    <w:rsid w:val="00DE4A8B"/>
    <w:rsid w:val="00DE511E"/>
    <w:rsid w:val="00DF5F0F"/>
    <w:rsid w:val="00E01322"/>
    <w:rsid w:val="00E013F7"/>
    <w:rsid w:val="00E01E6D"/>
    <w:rsid w:val="00E031E6"/>
    <w:rsid w:val="00E06A6C"/>
    <w:rsid w:val="00E07BB2"/>
    <w:rsid w:val="00E11173"/>
    <w:rsid w:val="00E112DE"/>
    <w:rsid w:val="00E12784"/>
    <w:rsid w:val="00E16E0A"/>
    <w:rsid w:val="00E2201B"/>
    <w:rsid w:val="00E22AB7"/>
    <w:rsid w:val="00E253A2"/>
    <w:rsid w:val="00E26965"/>
    <w:rsid w:val="00E2714D"/>
    <w:rsid w:val="00E313F3"/>
    <w:rsid w:val="00E31F11"/>
    <w:rsid w:val="00E3634B"/>
    <w:rsid w:val="00E42023"/>
    <w:rsid w:val="00E50ED1"/>
    <w:rsid w:val="00E63C05"/>
    <w:rsid w:val="00E664D6"/>
    <w:rsid w:val="00E70295"/>
    <w:rsid w:val="00E72170"/>
    <w:rsid w:val="00E747F4"/>
    <w:rsid w:val="00E7592C"/>
    <w:rsid w:val="00E75FB8"/>
    <w:rsid w:val="00E76E96"/>
    <w:rsid w:val="00E80F12"/>
    <w:rsid w:val="00E817A1"/>
    <w:rsid w:val="00E821BF"/>
    <w:rsid w:val="00E849F9"/>
    <w:rsid w:val="00EA3DAC"/>
    <w:rsid w:val="00EB2CA5"/>
    <w:rsid w:val="00EB4C99"/>
    <w:rsid w:val="00EB7A0F"/>
    <w:rsid w:val="00EC1EE5"/>
    <w:rsid w:val="00EC3B39"/>
    <w:rsid w:val="00ED66AA"/>
    <w:rsid w:val="00EE2D0A"/>
    <w:rsid w:val="00EF5B7E"/>
    <w:rsid w:val="00F00772"/>
    <w:rsid w:val="00F01161"/>
    <w:rsid w:val="00F01458"/>
    <w:rsid w:val="00F0214A"/>
    <w:rsid w:val="00F1510D"/>
    <w:rsid w:val="00F1725C"/>
    <w:rsid w:val="00F2288C"/>
    <w:rsid w:val="00F27E83"/>
    <w:rsid w:val="00F30C6B"/>
    <w:rsid w:val="00F347C1"/>
    <w:rsid w:val="00F37905"/>
    <w:rsid w:val="00F411AE"/>
    <w:rsid w:val="00F554E1"/>
    <w:rsid w:val="00F55740"/>
    <w:rsid w:val="00F63037"/>
    <w:rsid w:val="00F64919"/>
    <w:rsid w:val="00F65802"/>
    <w:rsid w:val="00F67993"/>
    <w:rsid w:val="00F72ADB"/>
    <w:rsid w:val="00F72FA5"/>
    <w:rsid w:val="00F76004"/>
    <w:rsid w:val="00F84319"/>
    <w:rsid w:val="00F86B92"/>
    <w:rsid w:val="00F91C6F"/>
    <w:rsid w:val="00F97587"/>
    <w:rsid w:val="00FA58C6"/>
    <w:rsid w:val="00FB37F5"/>
    <w:rsid w:val="00FB52E3"/>
    <w:rsid w:val="00FB60D2"/>
    <w:rsid w:val="00FB6602"/>
    <w:rsid w:val="00FB6EB0"/>
    <w:rsid w:val="00FB75D6"/>
    <w:rsid w:val="00FB7826"/>
    <w:rsid w:val="00FB7F55"/>
    <w:rsid w:val="00FC330D"/>
    <w:rsid w:val="00FC344C"/>
    <w:rsid w:val="00FC78C5"/>
    <w:rsid w:val="00FE3519"/>
    <w:rsid w:val="00FF58A8"/>
    <w:rsid w:val="00FF75B7"/>
    <w:rsid w:val="00FF7B23"/>
    <w:rsid w:val="01A355B6"/>
    <w:rsid w:val="01E454F4"/>
    <w:rsid w:val="020B11C4"/>
    <w:rsid w:val="023741B2"/>
    <w:rsid w:val="04134A25"/>
    <w:rsid w:val="04177302"/>
    <w:rsid w:val="05B7701D"/>
    <w:rsid w:val="08D526B1"/>
    <w:rsid w:val="0A8C64C2"/>
    <w:rsid w:val="0B6A633A"/>
    <w:rsid w:val="0EB579E2"/>
    <w:rsid w:val="100671F6"/>
    <w:rsid w:val="11623CB5"/>
    <w:rsid w:val="118F009E"/>
    <w:rsid w:val="17EA086C"/>
    <w:rsid w:val="1A607BCE"/>
    <w:rsid w:val="1AEF1626"/>
    <w:rsid w:val="1C825A57"/>
    <w:rsid w:val="1CC04BF9"/>
    <w:rsid w:val="1D433F09"/>
    <w:rsid w:val="2024339B"/>
    <w:rsid w:val="22F964DC"/>
    <w:rsid w:val="2417627A"/>
    <w:rsid w:val="2698047A"/>
    <w:rsid w:val="2883381F"/>
    <w:rsid w:val="28DF2960"/>
    <w:rsid w:val="29842A9A"/>
    <w:rsid w:val="2A8F58B9"/>
    <w:rsid w:val="2B143A91"/>
    <w:rsid w:val="2BF55687"/>
    <w:rsid w:val="2C0267D7"/>
    <w:rsid w:val="2FD22FF3"/>
    <w:rsid w:val="303A748D"/>
    <w:rsid w:val="31DE02FF"/>
    <w:rsid w:val="33B30008"/>
    <w:rsid w:val="3407375A"/>
    <w:rsid w:val="34BE071A"/>
    <w:rsid w:val="35813FBC"/>
    <w:rsid w:val="37662E7A"/>
    <w:rsid w:val="3AA95291"/>
    <w:rsid w:val="3C4F0C89"/>
    <w:rsid w:val="3DBD34CC"/>
    <w:rsid w:val="40800AB2"/>
    <w:rsid w:val="43C86E42"/>
    <w:rsid w:val="45E367D2"/>
    <w:rsid w:val="45EC514A"/>
    <w:rsid w:val="49A82B7C"/>
    <w:rsid w:val="4A481E68"/>
    <w:rsid w:val="4B0B0724"/>
    <w:rsid w:val="4B1A2C4A"/>
    <w:rsid w:val="4B456231"/>
    <w:rsid w:val="4C4D07BE"/>
    <w:rsid w:val="4C4F74DB"/>
    <w:rsid w:val="4D2149BE"/>
    <w:rsid w:val="4D6C26ED"/>
    <w:rsid w:val="513747C1"/>
    <w:rsid w:val="51703F13"/>
    <w:rsid w:val="523C040A"/>
    <w:rsid w:val="529C285B"/>
    <w:rsid w:val="55F84F84"/>
    <w:rsid w:val="56E8368B"/>
    <w:rsid w:val="574C1C08"/>
    <w:rsid w:val="57936DE0"/>
    <w:rsid w:val="58A35EE4"/>
    <w:rsid w:val="59E93A65"/>
    <w:rsid w:val="5ABE6D51"/>
    <w:rsid w:val="5AF77F10"/>
    <w:rsid w:val="5DF04A7E"/>
    <w:rsid w:val="62B25D2A"/>
    <w:rsid w:val="66647241"/>
    <w:rsid w:val="669536B7"/>
    <w:rsid w:val="67526524"/>
    <w:rsid w:val="67937993"/>
    <w:rsid w:val="6A990A2C"/>
    <w:rsid w:val="6C6D1EE8"/>
    <w:rsid w:val="6DAE214A"/>
    <w:rsid w:val="6E933BFA"/>
    <w:rsid w:val="6F631EF9"/>
    <w:rsid w:val="72502559"/>
    <w:rsid w:val="781E1F5D"/>
    <w:rsid w:val="78944357"/>
    <w:rsid w:val="7BD22CBB"/>
    <w:rsid w:val="7C8D2EB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character" w:default="1" w:styleId="10">
    <w:name w:val="Default Paragraph Font"/>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Document Map"/>
    <w:basedOn w:val="1"/>
    <w:link w:val="15"/>
    <w:semiHidden/>
    <w:unhideWhenUsed/>
    <w:qFormat/>
    <w:uiPriority w:val="99"/>
    <w:rPr>
      <w:rFonts w:ascii="宋体"/>
      <w:sz w:val="18"/>
      <w:szCs w:val="18"/>
    </w:rPr>
  </w:style>
  <w:style w:type="paragraph" w:styleId="4">
    <w:name w:val="Balloon Text"/>
    <w:basedOn w:val="1"/>
    <w:link w:val="12"/>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Emphasis"/>
    <w:qFormat/>
    <w:uiPriority w:val="0"/>
    <w:rPr>
      <w:i/>
    </w:rPr>
  </w:style>
  <w:style w:type="character" w:customStyle="1" w:styleId="12">
    <w:name w:val="批注框文本 Char"/>
    <w:link w:val="4"/>
    <w:semiHidden/>
    <w:qFormat/>
    <w:uiPriority w:val="99"/>
    <w:rPr>
      <w:kern w:val="2"/>
      <w:sz w:val="18"/>
      <w:szCs w:val="18"/>
    </w:rPr>
  </w:style>
  <w:style w:type="character" w:customStyle="1" w:styleId="13">
    <w:name w:val="页眉 Char"/>
    <w:link w:val="6"/>
    <w:qFormat/>
    <w:uiPriority w:val="99"/>
    <w:rPr>
      <w:kern w:val="2"/>
      <w:sz w:val="18"/>
      <w:szCs w:val="18"/>
    </w:rPr>
  </w:style>
  <w:style w:type="character" w:customStyle="1" w:styleId="14">
    <w:name w:val="页脚 Char"/>
    <w:link w:val="5"/>
    <w:qFormat/>
    <w:uiPriority w:val="99"/>
    <w:rPr>
      <w:kern w:val="2"/>
      <w:sz w:val="18"/>
      <w:szCs w:val="18"/>
    </w:rPr>
  </w:style>
  <w:style w:type="character" w:customStyle="1" w:styleId="15">
    <w:name w:val="文档结构图 Char"/>
    <w:link w:val="3"/>
    <w:semiHidden/>
    <w:qFormat/>
    <w:uiPriority w:val="99"/>
    <w:rPr>
      <w:rFonts w:ascii="宋体"/>
      <w:kern w:val="2"/>
      <w:sz w:val="18"/>
      <w:szCs w:val="18"/>
    </w:rPr>
  </w:style>
  <w:style w:type="paragraph" w:customStyle="1" w:styleId="16">
    <w:name w:val="Other|1"/>
    <w:basedOn w:val="1"/>
    <w:qFormat/>
    <w:uiPriority w:val="0"/>
    <w:pPr>
      <w:spacing w:line="442" w:lineRule="auto"/>
      <w:ind w:firstLine="400"/>
    </w:pPr>
    <w:rPr>
      <w:rFonts w:ascii="宋体" w:hAnsi="宋体" w:cs="宋体"/>
      <w:color w:val="86939A"/>
      <w:sz w:val="30"/>
      <w:szCs w:val="30"/>
      <w:lang w:val="zh-TW" w:eastAsia="zh-TW" w:bidi="zh-TW"/>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11</Pages>
  <Words>4764</Words>
  <Characters>4836</Characters>
  <Lines>35</Lines>
  <Paragraphs>10</Paragraphs>
  <TotalTime>0</TotalTime>
  <ScaleCrop>false</ScaleCrop>
  <LinksUpToDate>false</LinksUpToDate>
  <CharactersWithSpaces>4920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2023-03-21T02:55:00Z</dcterms:created>
  <dc:creator>苗娜</dc:creator>
  <cp:lastModifiedBy>张金慧</cp:lastModifiedBy>
  <cp:lastPrinted>2023-03-29T00:46:00Z</cp:lastPrinted>
  <dcterms:modified xsi:type="dcterms:W3CDTF">2025-07-11T00:32:59Z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SaveFontToCloudKey">
    <vt:lpwstr>0_embed</vt:lpwstr>
  </property>
  <property fmtid="{D5CDD505-2E9C-101B-9397-08002B2CF9AE}" pid="4" name="ICV">
    <vt:lpwstr>F310412480874420AA847796B5873E0D_13</vt:lpwstr>
  </property>
  <property fmtid="{D5CDD505-2E9C-101B-9397-08002B2CF9AE}" pid="5" name="KSOTemplateDocerSaveRecord">
    <vt:lpwstr>eyJoZGlkIjoiMzdkNTVlY2Y2ODUzNzRlODEzMzc2OTcyZTI3MGU2NzkiLCJ1c2VySWQiOiIxNjYyNTUzMTQ5In0=</vt:lpwstr>
  </property>
</Properties>
</file>